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Tanshinone IIa protects retinal endothelial cells against mitochondrial fission induced by methylglyoxal through glyoxalase 1 - PubMed</w:t>
      </w:r>
      <w:br/>
      <w:hyperlink r:id="rId7" w:history="1">
        <w:r>
          <w:rPr>
            <w:color w:val="2980b9"/>
            <w:u w:val="single"/>
          </w:rPr>
          <w:t xml:space="preserve">https://pubmed.ncbi.nlm.nih.gov/31136758/</w:t>
        </w:r>
      </w:hyperlink>
    </w:p>
    <w:p>
      <w:pPr>
        <w:pStyle w:val="Heading1"/>
      </w:pPr>
      <w:bookmarkStart w:id="2" w:name="_Toc2"/>
      <w:r>
        <w:t>Article summary:</w:t>
      </w:r>
      <w:bookmarkEnd w:id="2"/>
    </w:p>
    <w:p>
      <w:pPr>
        <w:jc w:val="both"/>
      </w:pPr>
      <w:r>
        <w:rPr/>
        <w:t xml:space="preserve">1. The study investigated the protective effects of Tanshinone IIa (Tan IIa) from Salvia miltiorrhiza on retinal endothelial cells against methylglyoxal (MGO)-induced cell dysfunction.</w:t>
      </w:r>
    </w:p>
    <w:p>
      <w:pPr>
        <w:jc w:val="both"/>
      </w:pPr>
      <w:r>
        <w:rPr/>
        <w:t xml:space="preserve">2. MGO treatment reduced cell viability and increased oxidative stress in retinal endothelial cells, leading to mitochondrial dysfunction and fission.</w:t>
      </w:r>
    </w:p>
    <w:p>
      <w:pPr>
        <w:jc w:val="both"/>
      </w:pPr>
      <w:r>
        <w:rPr/>
        <w:t xml:space="preserve">3. Tan IIa treatment effectively improved cell viability, reduced oxidative stress, and promoted mitochondrial fusion in MGO-treated retinal endothelial cells through enhancing glyoxalase 1 (GLO1) activity.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"Tanshinone IIa protects retinal endothelial cells against mitochondrial fission induced by methylglyoxal through glyoxalase 1" discusses the potential protective effects of Tanshinone IIa, a compound derived from Salvia miltiorrhiza, on retinal endothelial cells in the context of diabetic retinopathy. The study investigates the role of advanced glycation end products (AGEs) and methylglyoxal (MGO) in inducing cell dysfunction and mitochondrial fission, and explores how Tanshinone IIa may mitigate these effects.</w:t>
      </w:r>
    </w:p>
    <w:p>
      <w:pPr>
        <w:jc w:val="both"/>
      </w:pPr>
      <w:r>
        <w:rPr/>
        <w:t xml:space="preserve"/>
      </w:r>
    </w:p>
    <w:p>
      <w:pPr>
        <w:jc w:val="both"/>
      </w:pPr>
      <w:r>
        <w:rPr/>
        <w:t xml:space="preserve">Overall, the article provides a comprehensive analysis of the experimental findings and presents a logical argument for the protective effects of Tanshinone IIa. However, there are several points that need to be critically analyzed.</w:t>
      </w:r>
    </w:p>
    <w:p>
      <w:pPr>
        <w:jc w:val="both"/>
      </w:pPr>
      <w:r>
        <w:rPr/>
        <w:t xml:space="preserve"/>
      </w:r>
    </w:p>
    <w:p>
      <w:pPr>
        <w:jc w:val="both"/>
      </w:pPr>
      <w:r>
        <w:rPr/>
        <w:t xml:space="preserve">Firstly, it is important to consider any potential biases in the study. The authors declare no conflicts of interest, but it is worth noting that the study was funded by grants from the National Natural Science Foundation of China. This funding source could potentially introduce bias towards positive results or interpretations that support the efficacy of Tanshinone IIa.</w:t>
      </w:r>
    </w:p>
    <w:p>
      <w:pPr>
        <w:jc w:val="both"/>
      </w:pPr>
      <w:r>
        <w:rPr/>
        <w:t xml:space="preserve"/>
      </w:r>
    </w:p>
    <w:p>
      <w:pPr>
        <w:jc w:val="both"/>
      </w:pPr>
      <w:r>
        <w:rPr/>
        <w:t xml:space="preserve">Additionally, while the study provides evidence for the protective effects of Tanshinone IIa on retinal endothelial cells, it does not explore potential side effects or risks associated with its use. It is important to consider both the benefits and risks when evaluating any potential therapeutic intervention.</w:t>
      </w:r>
    </w:p>
    <w:p>
      <w:pPr>
        <w:jc w:val="both"/>
      </w:pPr>
      <w:r>
        <w:rPr/>
        <w:t xml:space="preserve"/>
      </w:r>
    </w:p>
    <w:p>
      <w:pPr>
        <w:jc w:val="both"/>
      </w:pPr>
      <w:r>
        <w:rPr/>
        <w:t xml:space="preserve">Furthermore, the article primarily focuses on one specific mechanism through which Tanshinone IIa may exert its protective effects - enhancement of glyoxalase 1 (GLO1). While this mechanism is supported by experimental data presented in the study, other potential mechanisms or pathways involved in Tanshinone IIa's protective effects are not explored. This narrow focus limits our understanding of the full range of actions and potential benefits of Tanshinone IIa.</w:t>
      </w:r>
    </w:p>
    <w:p>
      <w:pPr>
        <w:jc w:val="both"/>
      </w:pPr>
      <w:r>
        <w:rPr/>
        <w:t xml:space="preserve"/>
      </w:r>
    </w:p>
    <w:p>
      <w:pPr>
        <w:jc w:val="both"/>
      </w:pPr>
      <w:r>
        <w:rPr/>
        <w:t xml:space="preserve">The article also lacks a discussion of potential limitations or weaknesses in the study design or methodology. For example, the study primarily relies on in vitro experiments using bovine retinal endothelial cells, which may not fully represent the complexity of the human retina and its response to Tanshinone IIa. Additionally, the study does not provide data on the effects of Tanshinone IIa in an animal model or clinical setting, which would be necessary to validate its potential therapeutic use.</w:t>
      </w:r>
    </w:p>
    <w:p>
      <w:pPr>
        <w:jc w:val="both"/>
      </w:pPr>
      <w:r>
        <w:rPr/>
        <w:t xml:space="preserve"/>
      </w:r>
    </w:p>
    <w:p>
      <w:pPr>
        <w:jc w:val="both"/>
      </w:pPr>
      <w:r>
        <w:rPr/>
        <w:t xml:space="preserve">Moreover, while the article presents evidence for the protective effects of Tanshinone IIa on mitochondrial fission induced by MGO, it does not explore potential counterarguments or alternative explanations for these findings. This lack of critical analysis limits our ability to fully evaluate the validity and generalizability of the results.</w:t>
      </w:r>
    </w:p>
    <w:p>
      <w:pPr>
        <w:jc w:val="both"/>
      </w:pPr>
      <w:r>
        <w:rPr/>
        <w:t xml:space="preserve"/>
      </w:r>
    </w:p>
    <w:p>
      <w:pPr>
        <w:jc w:val="both"/>
      </w:pPr>
      <w:r>
        <w:rPr/>
        <w:t xml:space="preserve">In conclusion, while the article provides valuable insights into the potential protective effects of Tanshinone IIa on retinal endothelial cells, there are several points that need to be critically analyzed. These include potential biases introduced by funding sources, limited exploration of alternative mechanisms and pathways, lack of discussion on potential limitations or weaknesses in the study design, and absence of counterarguments or alternative explanations for the findings. Further research is needed to validate these findings and explore other aspects related to Tanshinone IIa's therapeutic potential.</w:t>
      </w:r>
    </w:p>
    <w:p>
      <w:pPr>
        <w:pStyle w:val="Heading1"/>
      </w:pPr>
      <w:bookmarkStart w:id="5" w:name="_Toc5"/>
      <w:r>
        <w:t>Topics for further research:</w:t>
      </w:r>
      <w:bookmarkEnd w:id="5"/>
    </w:p>
    <w:p>
      <w:pPr>
        <w:spacing w:after="0"/>
        <w:numPr>
          <w:ilvl w:val="0"/>
          <w:numId w:val="2"/>
        </w:numPr>
      </w:pPr>
      <w:r>
        <w:rPr/>
        <w:t xml:space="preserve">Potential side effects and risks of Tanshinone IIa use in humans
</w:t>
      </w:r>
    </w:p>
    <w:p>
      <w:pPr>
        <w:spacing w:after="0"/>
        <w:numPr>
          <w:ilvl w:val="0"/>
          <w:numId w:val="2"/>
        </w:numPr>
      </w:pPr>
      <w:r>
        <w:rPr/>
        <w:t xml:space="preserve">Mechanisms of action of Tanshinone IIa beyond enhancement of glyoxalase 1
</w:t>
      </w:r>
    </w:p>
    <w:p>
      <w:pPr>
        <w:spacing w:after="0"/>
        <w:numPr>
          <w:ilvl w:val="0"/>
          <w:numId w:val="2"/>
        </w:numPr>
      </w:pPr>
      <w:r>
        <w:rPr/>
        <w:t xml:space="preserve">Limitations and weaknesses of the study design and methodology
</w:t>
      </w:r>
    </w:p>
    <w:p>
      <w:pPr>
        <w:spacing w:after="0"/>
        <w:numPr>
          <w:ilvl w:val="0"/>
          <w:numId w:val="2"/>
        </w:numPr>
      </w:pPr>
      <w:r>
        <w:rPr/>
        <w:t xml:space="preserve">Animal models or clinical studies investigating the effects of Tanshinone IIa
</w:t>
      </w:r>
    </w:p>
    <w:p>
      <w:pPr>
        <w:spacing w:after="0"/>
        <w:numPr>
          <w:ilvl w:val="0"/>
          <w:numId w:val="2"/>
        </w:numPr>
      </w:pPr>
      <w:r>
        <w:rPr/>
        <w:t xml:space="preserve">Counterarguments or alternative explanations for the protective effects of Tanshinone IIa on mitochondrial fission induced by MGO
</w:t>
      </w:r>
    </w:p>
    <w:p>
      <w:pPr>
        <w:numPr>
          <w:ilvl w:val="0"/>
          <w:numId w:val="2"/>
        </w:numPr>
      </w:pPr>
      <w:r>
        <w:rPr/>
        <w:t xml:space="preserve">Other potential therapeutic interventions for retinal endothelial cell dysfunction in diabetic retinopathy</w:t>
      </w:r>
    </w:p>
    <w:p>
      <w:pPr>
        <w:pStyle w:val="Heading1"/>
      </w:pPr>
      <w:bookmarkStart w:id="6" w:name="_Toc6"/>
      <w:r>
        <w:t>Report location:</w:t>
      </w:r>
      <w:bookmarkEnd w:id="6"/>
    </w:p>
    <w:p>
      <w:hyperlink r:id="rId8" w:history="1">
        <w:r>
          <w:rPr>
            <w:color w:val="2980b9"/>
            <w:u w:val="single"/>
          </w:rPr>
          <w:t xml:space="preserve">https://www.fullpicture.app/item/1b91b21bc703c8fdc965eaa1bdcd3817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19FC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136758/" TargetMode="External"/><Relationship Id="rId8" Type="http://schemas.openxmlformats.org/officeDocument/2006/relationships/hyperlink" Target="https://www.fullpicture.app/item/1b91b21bc703c8fdc965eaa1bdcd38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2024-02-11T02:43:41+01:00</dcterms:created>
  <dcterms:modified xsi:type="dcterms:W3CDTF">2024-02-11T02:43:41+01:00</dcterms:modified>
</cp:coreProperties>
</file>

<file path=docProps/custom.xml><?xml version="1.0" encoding="utf-8"?>
<Properties xmlns="http://schemas.openxmlformats.org/officeDocument/2006/custom-properties" xmlns:vt="http://schemas.openxmlformats.org/officeDocument/2006/docPropsVTypes"/>
</file>