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Prevalence and risk factors of osteoporosis and vertebral fractures in patients with ankylosing spondylitis - PubMed</w:t>
      </w:r>
      <w:br/>
      <w:hyperlink r:id="rId7" w:history="1">
        <w:r>
          <w:rPr>
            <w:color w:val="2980b9"/>
            <w:u w:val="single"/>
          </w:rPr>
          <w:t xml:space="preserve">https://pubmed.ncbi.nlm.nih.gov/19442629/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骨质疏松和椎体骨折在强直性脊柱炎（AS）患者中普遍存在。</w:t>
      </w:r>
    </w:p>
    <w:p>
      <w:pPr>
        <w:jc w:val="both"/>
      </w:pPr>
      <w:r>
        <w:rPr/>
        <w:t xml:space="preserve">2. 低体重、BMI、疾病持续时间、ESR、CRP、BASFI和BASDAI与骨质疏松有关，而年龄、疾病持续时间、BASFI、BASRI和mSASSS以及髋部的BMD和T分数与椎体骨折有关。</w:t>
      </w:r>
    </w:p>
    <w:p>
      <w:pPr>
        <w:jc w:val="both"/>
      </w:pPr>
      <w:r>
        <w:rPr/>
        <w:t xml:space="preserve">3. 骨质疏松似乎与AS的活动性相关，而椎体骨折似乎与疾病的持续时间和结构严重程度相关，而不是与BMD相关。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moderately imbalanced: The article provides some useful information, but is missing several important points or pieces of evidence that would be required to present the discussed topics in a balanced and reliable way. You are encouraged to seek a more balanced perspective on the presented issues by exploring the provided research topics and looking at different information sources.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该文章提供了关于强直性脊柱炎（AS）患者骨质疏松和椎体骨折的流行率和风险因素的信息。然而，该文章存在一些偏见和缺失。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首先，该文章没有考虑到可能的混淆因素，如年龄、性别、药物治疗等。这些因素可能会影响AS患者骨质疏松和椎体骨折的发生率和风险。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其次，该文章没有探讨AS患者骨质疏松和椎体骨折的预防和治疗方法。这些信息对于临床实践非常重要。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此外，该文章没有平等地呈现双方观点。它只提供了一个方面的信息，即AS患者骨质疏松和椎体骨折的流行率和风险因素。它没有探讨其他可能导致这些问题的因素或其他治疗方法。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最后，该文章似乎有一定程度上的偏袒。它强调了AS与骨质疏松和椎体骨折之间的关系，并将其归结为AS本身导致的结果。然而，这种关系可能是复杂的，并且可能涉及其他因素。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综上所述，该文章提供了一些有用的信息，但存在一些偏见和缺失。需要更多的研究来深入探讨AS患者骨质疏松和椎体骨折的发生率和风险因素，并提供更全面的治疗建议。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Confounding factors in AS patients with osteoporosis and vertebral fractures
</w:t>
      </w:r>
    </w:p>
    <w:p>
      <w:pPr>
        <w:spacing w:after="0"/>
        <w:numPr>
          <w:ilvl w:val="0"/>
          <w:numId w:val="2"/>
        </w:numPr>
      </w:pPr>
      <w:r>
        <w:rPr/>
        <w:t xml:space="preserve">Prevention and treatment options for osteoporosis and vertebral fractures in AS patients
</w:t>
      </w:r>
    </w:p>
    <w:p>
      <w:pPr>
        <w:spacing w:after="0"/>
        <w:numPr>
          <w:ilvl w:val="0"/>
          <w:numId w:val="2"/>
        </w:numPr>
      </w:pPr>
      <w:r>
        <w:rPr/>
        <w:t xml:space="preserve">Other factors that may contribute to osteoporosis and vertebral fractures in AS patients
</w:t>
      </w:r>
    </w:p>
    <w:p>
      <w:pPr>
        <w:spacing w:after="0"/>
        <w:numPr>
          <w:ilvl w:val="0"/>
          <w:numId w:val="2"/>
        </w:numPr>
      </w:pPr>
      <w:r>
        <w:rPr/>
        <w:t xml:space="preserve">Alternative treatment options for AS and its related complications
</w:t>
      </w:r>
    </w:p>
    <w:p>
      <w:pPr>
        <w:spacing w:after="0"/>
        <w:numPr>
          <w:ilvl w:val="0"/>
          <w:numId w:val="2"/>
        </w:numPr>
      </w:pPr>
      <w:r>
        <w:rPr/>
        <w:t xml:space="preserve">The complexity of the relationship between AS and osteoporosis/vertebral fractures
</w:t>
      </w:r>
    </w:p>
    <w:p>
      <w:pPr>
        <w:numPr>
          <w:ilvl w:val="0"/>
          <w:numId w:val="2"/>
        </w:numPr>
      </w:pPr>
      <w:r>
        <w:rPr/>
        <w:t xml:space="preserve">The need for further research on AS and its related complications.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https://www.fullpicture.app/item/1a87e95a628676b9e12354998712eee6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8DEB9BB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ubmed.ncbi.nlm.nih.gov/19442629/" TargetMode="External"/><Relationship Id="rId8" Type="http://schemas.openxmlformats.org/officeDocument/2006/relationships/hyperlink" Target="https://www.fullpicture.app/item/1a87e95a628676b9e12354998712eee6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2024-01-06T20:45:21+01:00</dcterms:created>
  <dcterms:modified xsi:type="dcterms:W3CDTF">2024-01-06T20:45:21+01:00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