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Right to Request Flexible Working: A 'Very British' Approach to Gender (in) Equality?</w:t>
      </w:r>
      <w:br/>
      <w:hyperlink r:id="rId7" w:history="1">
        <w:r>
          <w:rPr>
            <w:color w:val="2980b9"/>
            <w:u w:val="single"/>
          </w:rPr>
          <w:t xml:space="preserve">https://search-informit-org.ezproxy.library.sydney.edu.au/doi/epdf/10.3316/ielapa.011583429145631</w:t>
        </w:r>
      </w:hyperlink>
    </w:p>
    <w:p>
      <w:pPr>
        <w:pStyle w:val="Heading1"/>
      </w:pPr>
      <w:bookmarkStart w:id="2" w:name="_Toc2"/>
      <w:r>
        <w:t>Article summary:</w:t>
      </w:r>
      <w:bookmarkEnd w:id="2"/>
    </w:p>
    <w:p>
      <w:pPr>
        <w:jc w:val="both"/>
      </w:pPr>
      <w:r>
        <w:rPr/>
        <w:t xml:space="preserve">1. The UK government has introduced the Right to Request Flexible Working as a way to promote gender equality and reduce child poverty.</w:t>
      </w:r>
    </w:p>
    <w:p>
      <w:pPr>
        <w:jc w:val="both"/>
      </w:pPr>
      <w:r>
        <w:rPr/>
        <w:t xml:space="preserve">2. The government's motivation for promoting flexible working is not only to boost UK competitiveness but also to expand choice for parents in combining employment with parental responsibilities.</w:t>
      </w:r>
    </w:p>
    <w:p>
      <w:pPr>
        <w:jc w:val="both"/>
      </w:pPr>
      <w:r>
        <w:rPr/>
        <w:t xml:space="preserve">3. Trade unions, pressure groups, and women's organizations formed a working group to coordinate their response to the government's Green Paper on work and family policy, highlighting priorities such as an extension of paid maternity leave, paid parental leave, and the right for all parents of pre-school children to reduce their working hours.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该文章主要讨论英国政府推行灵活工作制度的背景和目的。然而，文章存在一些潜在偏见和片面报道。</w:t>
      </w:r>
    </w:p>
    <w:p>
      <w:pPr>
        <w:jc w:val="both"/>
      </w:pPr>
      <w:r>
        <w:rPr/>
        <w:t xml:space="preserve"/>
      </w:r>
    </w:p>
    <w:p>
      <w:pPr>
        <w:jc w:val="both"/>
      </w:pPr>
      <w:r>
        <w:rPr/>
        <w:t xml:space="preserve">首先，文章没有探讨灵活工作制度可能带来的风险和负面影响。例如，如果雇主不愿意提供灵活工作安排，那么员工可能会被迫接受低薪或不稳定的工作条件。此外，灵活工作制度也可能导致职业发展机会有限，从而影响员工的收入和晋升机会。</w:t>
      </w:r>
    </w:p>
    <w:p>
      <w:pPr>
        <w:jc w:val="both"/>
      </w:pPr>
      <w:r>
        <w:rPr/>
        <w:t xml:space="preserve"/>
      </w:r>
    </w:p>
    <w:p>
      <w:pPr>
        <w:jc w:val="both"/>
      </w:pPr>
      <w:r>
        <w:rPr/>
        <w:t xml:space="preserve">其次，文章没有平等地呈现双方观点。虽然政府强调推广灵活工作制度是为了促进性别平等和减少儿童贫困率，但是文章没有探讨反对者的观点或担忧。例如，一些人认为灵活工作制度可能导致女性更容易被歧视或削弱劳动力市场竞争力。</w:t>
      </w:r>
    </w:p>
    <w:p>
      <w:pPr>
        <w:jc w:val="both"/>
      </w:pPr>
      <w:r>
        <w:rPr/>
        <w:t xml:space="preserve"/>
      </w:r>
    </w:p>
    <w:p>
      <w:pPr>
        <w:jc w:val="both"/>
      </w:pPr>
      <w:r>
        <w:rPr/>
        <w:t xml:space="preserve">此外，在提出“选择”这个概念时，文章没有考虑到社会经济背景对于选择范围的限制。例如，在低收入家庭中，父母可能无法选择是否要继续工作或照顾孩子。</w:t>
      </w:r>
    </w:p>
    <w:p>
      <w:pPr>
        <w:jc w:val="both"/>
      </w:pPr>
      <w:r>
        <w:rPr/>
        <w:t xml:space="preserve"/>
      </w:r>
    </w:p>
    <w:p>
      <w:pPr>
        <w:jc w:val="both"/>
      </w:pPr>
      <w:r>
        <w:rPr/>
        <w:t xml:space="preserve">最后，文章未提供足够的证据来支持其主张。例如，文章声称灵活工作制度可以减少儿童贫困率，但没有提供相关研究或数据来支持这一观点。</w:t>
      </w:r>
    </w:p>
    <w:p>
      <w:pPr>
        <w:jc w:val="both"/>
      </w:pPr>
      <w:r>
        <w:rPr/>
        <w:t xml:space="preserve"/>
      </w:r>
    </w:p>
    <w:p>
      <w:pPr>
        <w:jc w:val="both"/>
      </w:pPr>
      <w:r>
        <w:rPr/>
        <w:t xml:space="preserve">综上所述，该文章存在一些偏见和片面报道，并未全面探讨灵活工作制度可能带来的风险和限制。同时，文章也缺乏足够的证据来支持其主张。</w:t>
      </w:r>
    </w:p>
    <w:p>
      <w:pPr>
        <w:pStyle w:val="Heading1"/>
      </w:pPr>
      <w:bookmarkStart w:id="5" w:name="_Toc5"/>
      <w:r>
        <w:t>Topics for further research:</w:t>
      </w:r>
      <w:bookmarkEnd w:id="5"/>
    </w:p>
    <w:p>
      <w:pPr>
        <w:spacing w:after="0"/>
        <w:numPr>
          <w:ilvl w:val="0"/>
          <w:numId w:val="2"/>
        </w:numPr>
      </w:pPr>
      <w:r>
        <w:rPr/>
        <w:t xml:space="preserve">Risks and negative impacts of flexible working arrangements
</w:t>
      </w:r>
    </w:p>
    <w:p>
      <w:pPr>
        <w:spacing w:after="0"/>
        <w:numPr>
          <w:ilvl w:val="0"/>
          <w:numId w:val="2"/>
        </w:numPr>
      </w:pPr>
      <w:r>
        <w:rPr/>
        <w:t xml:space="preserve">Opposing views and concerns about flexible working arrangements
</w:t>
      </w:r>
    </w:p>
    <w:p>
      <w:pPr>
        <w:spacing w:after="0"/>
        <w:numPr>
          <w:ilvl w:val="0"/>
          <w:numId w:val="2"/>
        </w:numPr>
      </w:pPr>
      <w:r>
        <w:rPr/>
        <w:t xml:space="preserve">Gender discrimination and labor market competitiveness
</w:t>
      </w:r>
    </w:p>
    <w:p>
      <w:pPr>
        <w:spacing w:after="0"/>
        <w:numPr>
          <w:ilvl w:val="0"/>
          <w:numId w:val="2"/>
        </w:numPr>
      </w:pPr>
      <w:r>
        <w:rPr/>
        <w:t xml:space="preserve">Socioeconomic background and limitations on choice
</w:t>
      </w:r>
    </w:p>
    <w:p>
      <w:pPr>
        <w:spacing w:after="0"/>
        <w:numPr>
          <w:ilvl w:val="0"/>
          <w:numId w:val="2"/>
        </w:numPr>
      </w:pPr>
      <w:r>
        <w:rPr/>
        <w:t xml:space="preserve">Evidence supporting the claim that flexible working arrangements can reduce child poverty
</w:t>
      </w:r>
    </w:p>
    <w:p>
      <w:pPr>
        <w:numPr>
          <w:ilvl w:val="0"/>
          <w:numId w:val="2"/>
        </w:numPr>
      </w:pPr>
      <w:r>
        <w:rPr/>
        <w:t xml:space="preserve">Comprehensive exploration of the topic of flexible working arrangements</w:t>
      </w:r>
    </w:p>
    <w:p>
      <w:pPr>
        <w:pStyle w:val="Heading1"/>
      </w:pPr>
      <w:bookmarkStart w:id="6" w:name="_Toc6"/>
      <w:r>
        <w:t>Report location:</w:t>
      </w:r>
      <w:bookmarkEnd w:id="6"/>
    </w:p>
    <w:p>
      <w:hyperlink r:id="rId8" w:history="1">
        <w:r>
          <w:rPr>
            <w:color w:val="2980b9"/>
            <w:u w:val="single"/>
          </w:rPr>
          <w:t xml:space="preserve">https://www.fullpicture.app/item/19c5e0dae5a289d6f8b220507635157c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2AA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informit-org.ezproxy.library.sydney.edu.au/doi/epdf/10.3316/ielapa.011583429145631" TargetMode="External"/><Relationship Id="rId8" Type="http://schemas.openxmlformats.org/officeDocument/2006/relationships/hyperlink" Target="https://www.fullpicture.app/item/19c5e0dae5a289d6f8b22050763515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2023-10-19T01:30:49+02:00</dcterms:created>
  <dcterms:modified xsi:type="dcterms:W3CDTF">2023-10-19T01:30:49+02:00</dcterms:modified>
</cp:coreProperties>
</file>

<file path=docProps/custom.xml><?xml version="1.0" encoding="utf-8"?>
<Properties xmlns="http://schemas.openxmlformats.org/officeDocument/2006/custom-properties" xmlns:vt="http://schemas.openxmlformats.org/officeDocument/2006/docPropsVTypes"/>
</file>