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Enhanced fatigue endurance limit of Cu through low-angle dislocation boundary - ScienceDirect</w:t>
      </w:r>
      <w:br/>
      <w:hyperlink r:id="rId7" w:history="1">
        <w:r>
          <w:rPr>
            <w:color w:val="2980b9"/>
            <w:u w:val="single"/>
          </w:rPr>
          <w:t xml:space="preserve">https://www.sciencedirect.com/science/article/pii/S1359645422009193?via%3Dihub=</w:t>
        </w:r>
      </w:hyperlink>
    </w:p>
    <w:p>
      <w:pPr>
        <w:pStyle w:val="Heading1"/>
      </w:pPr>
      <w:bookmarkStart w:id="2" w:name="_Toc2"/>
      <w:r>
        <w:t>Article summary:</w:t>
      </w:r>
      <w:bookmarkEnd w:id="2"/>
    </w:p>
    <w:p>
      <w:pPr>
        <w:jc w:val="both"/>
      </w:pPr>
      <w:r>
        <w:rPr/>
        <w:t xml:space="preserve">1. 提高金属材料的高周疲劳阻力是一个重要但技术上具有挑战性的问题。</w:t>
      </w:r>
    </w:p>
    <w:p>
      <w:pPr>
        <w:jc w:val="both"/>
      </w:pPr>
      <w:r>
        <w:rPr/>
        <w:t xml:space="preserve">2. 通过引入大量纳米级低角位错边界，可以显著提高粗晶粒纯铜的疲劳极限，达到130 MPa，并且具有0.35的疲劳比。</w:t>
      </w:r>
    </w:p>
    <w:p>
      <w:pPr>
        <w:jc w:val="both"/>
      </w:pPr>
      <w:r>
        <w:rPr/>
        <w:t xml:space="preserve">3. 这种提高应力抗性的方法主要归因于内置低角位错单元的高密度，它们强而有力地抑制了局部表面粗糙和裂纹起始，从而有助于提高疲劳寿命。</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该文章介绍了一种通过低角度位错边界来提高铜的疲劳极限的方法。然而，该文章存在以下问题：</w:t>
      </w:r>
    </w:p>
    <w:p>
      <w:pPr>
        <w:jc w:val="both"/>
      </w:pPr>
      <w:r>
        <w:rPr/>
        <w:t xml:space="preserve"/>
      </w:r>
    </w:p>
    <w:p>
      <w:pPr>
        <w:jc w:val="both"/>
      </w:pPr>
      <w:r>
        <w:rPr/>
        <w:t xml:space="preserve">1. 偏见来源：该文章没有探讨其他可能影响疲劳极限的因素，如材料制备过程中的缺陷、环境因素等。因此，其结论可能存在偏见。</w:t>
      </w:r>
    </w:p>
    <w:p>
      <w:pPr>
        <w:jc w:val="both"/>
      </w:pPr>
      <w:r>
        <w:rPr/>
        <w:t xml:space="preserve"/>
      </w:r>
    </w:p>
    <w:p>
      <w:pPr>
        <w:jc w:val="both"/>
      </w:pPr>
      <w:r>
        <w:rPr/>
        <w:t xml:space="preserve">2. 片面报道：该文章只介绍了通过低角度位错边界来提高铜的疲劳极限的方法，并未探讨其他可能的方法。这种片面报道可能会误导读者。</w:t>
      </w:r>
    </w:p>
    <w:p>
      <w:pPr>
        <w:jc w:val="both"/>
      </w:pPr>
      <w:r>
        <w:rPr/>
        <w:t xml:space="preserve"/>
      </w:r>
    </w:p>
    <w:p>
      <w:pPr>
        <w:jc w:val="both"/>
      </w:pPr>
      <w:r>
        <w:rPr/>
        <w:t xml:space="preserve">3. 缺失考虑点：该文章没有考虑到实际应用中材料所受到的复杂载荷情况，如多轴载荷、非周期性载荷等。这些情况下材料的疲劳行为可能与单纯周期性载荷下不同。</w:t>
      </w:r>
    </w:p>
    <w:p>
      <w:pPr>
        <w:jc w:val="both"/>
      </w:pPr>
      <w:r>
        <w:rPr/>
        <w:t xml:space="preserve"/>
      </w:r>
    </w:p>
    <w:p>
      <w:pPr>
        <w:jc w:val="both"/>
      </w:pPr>
      <w:r>
        <w:rPr/>
        <w:t xml:space="preserve">4. 主张缺失证据：该文章声称通过低角度位错边界可以显著提高铜的疲劳极限，但并未给出足够的实验证据支持其主张。</w:t>
      </w:r>
    </w:p>
    <w:p>
      <w:pPr>
        <w:jc w:val="both"/>
      </w:pPr>
      <w:r>
        <w:rPr/>
        <w:t xml:space="preserve"/>
      </w:r>
    </w:p>
    <w:p>
      <w:pPr>
        <w:jc w:val="both"/>
      </w:pPr>
      <w:r>
        <w:rPr/>
        <w:t xml:space="preserve">5. 未探索反驳：该文章没有探讨其他学者对其主张的反驳意见，这种做法可能会导致读者对相关领域内争议问题产生误解。</w:t>
      </w:r>
    </w:p>
    <w:p>
      <w:pPr>
        <w:jc w:val="both"/>
      </w:pPr>
      <w:r>
        <w:rPr/>
        <w:t xml:space="preserve"/>
      </w:r>
    </w:p>
    <w:p>
      <w:pPr>
        <w:jc w:val="both"/>
      </w:pPr>
      <w:r>
        <w:rPr/>
        <w:t xml:space="preserve">6. 宣传内容：该文章的标题和摘要中使用了“remarkably elevate”、“enhancing the tensile strength obviously”等宣传性词语，可能会误导读者对其结论的客观性产生怀疑。</w:t>
      </w:r>
    </w:p>
    <w:p>
      <w:pPr>
        <w:jc w:val="both"/>
      </w:pPr>
      <w:r>
        <w:rPr/>
        <w:t xml:space="preserve"/>
      </w:r>
    </w:p>
    <w:p>
      <w:pPr>
        <w:jc w:val="both"/>
      </w:pPr>
      <w:r>
        <w:rPr/>
        <w:t xml:space="preserve">综上所述，该文章存在一些问题，需要更加全面客观地探讨相关问题。</w:t>
      </w:r>
    </w:p>
    <w:p>
      <w:pPr>
        <w:pStyle w:val="Heading1"/>
      </w:pPr>
      <w:bookmarkStart w:id="5" w:name="_Toc5"/>
      <w:r>
        <w:t>Topics for further research:</w:t>
      </w:r>
      <w:bookmarkEnd w:id="5"/>
    </w:p>
    <w:p>
      <w:pPr>
        <w:spacing w:after="0"/>
        <w:numPr>
          <w:ilvl w:val="0"/>
          <w:numId w:val="2"/>
        </w:numPr>
      </w:pPr>
      <w:r>
        <w:rPr/>
        <w:t xml:space="preserve">Other factors affecting fatigue limit of copper
</w:t>
      </w:r>
    </w:p>
    <w:p>
      <w:pPr>
        <w:spacing w:after="0"/>
        <w:numPr>
          <w:ilvl w:val="0"/>
          <w:numId w:val="2"/>
        </w:numPr>
      </w:pPr>
      <w:r>
        <w:rPr/>
        <w:t xml:space="preserve">Other methods to improve fatigue limit of copper
</w:t>
      </w:r>
    </w:p>
    <w:p>
      <w:pPr>
        <w:spacing w:after="0"/>
        <w:numPr>
          <w:ilvl w:val="0"/>
          <w:numId w:val="2"/>
        </w:numPr>
      </w:pPr>
      <w:r>
        <w:rPr/>
        <w:t xml:space="preserve">Complex loading conditions and fatigue behavior of materials
</w:t>
      </w:r>
    </w:p>
    <w:p>
      <w:pPr>
        <w:spacing w:after="0"/>
        <w:numPr>
          <w:ilvl w:val="0"/>
          <w:numId w:val="2"/>
        </w:numPr>
      </w:pPr>
      <w:r>
        <w:rPr/>
        <w:t xml:space="preserve">Experimental evidence supporting the claim of low-angle dislocation boundaries improving fatigue limit
</w:t>
      </w:r>
    </w:p>
    <w:p>
      <w:pPr>
        <w:spacing w:after="0"/>
        <w:numPr>
          <w:ilvl w:val="0"/>
          <w:numId w:val="2"/>
        </w:numPr>
      </w:pPr>
      <w:r>
        <w:rPr/>
        <w:t xml:space="preserve">Counterarguments to the claim of low-angle dislocation boundaries improving fatigue limit
</w:t>
      </w:r>
    </w:p>
    <w:p>
      <w:pPr>
        <w:numPr>
          <w:ilvl w:val="0"/>
          <w:numId w:val="2"/>
        </w:numPr>
      </w:pPr>
      <w:r>
        <w:rPr/>
        <w:t xml:space="preserve">Objective language in article titles and abstracts</w:t>
      </w:r>
    </w:p>
    <w:p>
      <w:pPr>
        <w:pStyle w:val="Heading1"/>
      </w:pPr>
      <w:bookmarkStart w:id="6" w:name="_Toc6"/>
      <w:r>
        <w:t>Report location:</w:t>
      </w:r>
      <w:bookmarkEnd w:id="6"/>
    </w:p>
    <w:p>
      <w:hyperlink r:id="rId8" w:history="1">
        <w:r>
          <w:rPr>
            <w:color w:val="2980b9"/>
            <w:u w:val="single"/>
          </w:rPr>
          <w:t xml:space="preserve">https://www.fullpicture.app/item/1845bcdd9a78ef529850e473d608db32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4C068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59645422009193?via%3Dihub=" TargetMode="External"/><Relationship Id="rId8" Type="http://schemas.openxmlformats.org/officeDocument/2006/relationships/hyperlink" Target="https://www.fullpicture.app/item/1845bcdd9a78ef529850e473d608db3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2023-05-23T12:37:45+02:00</dcterms:created>
  <dcterms:modified xsi:type="dcterms:W3CDTF">2023-05-23T12:37:45+02:00</dcterms:modified>
</cp:coreProperties>
</file>

<file path=docProps/custom.xml><?xml version="1.0" encoding="utf-8"?>
<Properties xmlns="http://schemas.openxmlformats.org/officeDocument/2006/custom-properties" xmlns:vt="http://schemas.openxmlformats.org/officeDocument/2006/docPropsVTypes"/>
</file>