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Islamic Finance Country Assessment Framework (IF-CAF) - Islamic Development Bank Institute</w:t>
      </w:r>
      <w:br/>
      <w:hyperlink r:id="rId7" w:history="1">
        <w:r>
          <w:rPr>
            <w:color w:val="2980b9"/>
            <w:u w:val="single"/>
          </w:rPr>
          <w:t xml:space="preserve">https://isdbinstitute.org/product/islamic-finance-country-assessment-framework-if-caf/</w:t>
        </w:r>
      </w:hyperlink>
    </w:p>
    <w:p>
      <w:pPr>
        <w:pStyle w:val="Heading1"/>
      </w:pPr>
      <w:bookmarkStart w:id="2" w:name="_Toc2"/>
      <w:r>
        <w:t>Article summary:</w:t>
      </w:r>
      <w:bookmarkEnd w:id="2"/>
    </w:p>
    <w:p>
      <w:pPr>
        <w:jc w:val="both"/>
      </w:pPr>
      <w:r>
        <w:rPr/>
        <w:t xml:space="preserve">1. Le cadre d'évaluation de l'écosystème de la finance islamique dans les pays membres de la Banque islamique de développement (BID) a été développé par l'Institut de la BID.</w:t>
      </w:r>
    </w:p>
    <w:p>
      <w:pPr>
        <w:jc w:val="both"/>
      </w:pPr>
      <w:r>
        <w:rPr/>
        <w:t xml:space="preserve">2. Le cadre utilise une méthodologie d'évaluation transparente et fiable avec des critères qualitatifs et quantitatifs spécifiques pour identifier les lacunes et les obstacles à une industrie de la finance islamique durable.</w:t>
      </w:r>
    </w:p>
    <w:p>
      <w:pPr>
        <w:jc w:val="both"/>
      </w:pPr>
      <w:r>
        <w:rPr/>
        <w:t xml:space="preserve">3. Les résultats de l'évaluation génèrent des recommandations sur mesure pour aider les pays membres à créer une infrastructure favorable en fonction des besoins prioritaires du marché spécifique.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le cadre d'évaluation de la finance islamique dans les pays membres de la Banque islamique de développement (BID) développé par l'Institut de la BID. Le cadre, appelé Islamic Finance Country Assessment Framework (IF-CAF), utilise une méthodologie transparente et fiable pour évaluer l'écosystème de la finance islamique dans un pays donné en utilisant des critères qualitatifs et quantitatifs spécifiques. Les résultats de l'évaluation permettent d'identifier les lacunes et les obstacles à la création d'une industrie durable de la finance islamique dans le pays évalué, ainsi que des recommandations adaptées pour aider le pays à créer une infrastructure favorable.</w:t>
      </w:r>
    </w:p>
    <w:p>
      <w:pPr>
        <w:jc w:val="both"/>
      </w:pPr>
      <w:r>
        <w:rPr/>
        <w:t xml:space="preserve"/>
      </w:r>
    </w:p>
    <w:p>
      <w:pPr>
        <w:jc w:val="both"/>
      </w:pPr>
      <w:r>
        <w:rPr/>
        <w:t xml:space="preserve">L'article ne présente pas de biais potentiels ou d'affirmations non étayées. Cependant, il est important de noter que l'article est publié sur le site web de l'Institut de la BID, ce qui peut être considéré comme un contenu promotionnel pour leur travail. De plus, l'article ne mentionne pas les risques possibles associés à l'utilisation du cadre IF-CAF ou les contre-arguments possibles contre son utilisation.</w:t>
      </w:r>
    </w:p>
    <w:p>
      <w:pPr>
        <w:jc w:val="both"/>
      </w:pPr>
      <w:r>
        <w:rPr/>
        <w:t xml:space="preserve"/>
      </w:r>
    </w:p>
    <w:p>
      <w:pPr>
        <w:jc w:val="both"/>
      </w:pPr>
      <w:r>
        <w:rPr/>
        <w:t xml:space="preserve">En résumé, cet article fournit une présentation claire et concise du cadre IF-CAF développé par l'Institut de la BID pour évaluer l'écosystème de la finance islamique dans les pays membres. Cependant, il est important d'être conscient du contexte promotionnel dans lequel cet article a été publié et des limites potentielles du cadre IF-CAF qui ne sont pas explorées dans cet article.</w:t>
      </w:r>
    </w:p>
    <w:p>
      <w:pPr>
        <w:pStyle w:val="Heading1"/>
      </w:pPr>
      <w:bookmarkStart w:id="5" w:name="_Toc5"/>
      <w:r>
        <w:t>Topics for further research:</w:t>
      </w:r>
      <w:bookmarkEnd w:id="5"/>
    </w:p>
    <w:p>
      <w:pPr>
        <w:spacing w:after="0"/>
        <w:numPr>
          <w:ilvl w:val="0"/>
          <w:numId w:val="2"/>
        </w:numPr>
      </w:pPr>
      <w:r>
        <w:rPr/>
        <w:t xml:space="preserve">Les risques potentiels associés à l'utilisation du cadre IF-CAF pour évaluer l'écosystème de la finance islamique dans les pays membres de la BID.
</w:t>
      </w:r>
    </w:p>
    <w:p>
      <w:pPr>
        <w:spacing w:after="0"/>
        <w:numPr>
          <w:ilvl w:val="0"/>
          <w:numId w:val="2"/>
        </w:numPr>
      </w:pPr>
      <w:r>
        <w:rPr/>
        <w:t xml:space="preserve">Les contre-arguments possibles contre l'utilisation du cadre IF-CAF pour évaluer l'écosystème de la finance islamique dans les pays membres de la BID.
</w:t>
      </w:r>
    </w:p>
    <w:p>
      <w:pPr>
        <w:spacing w:after="0"/>
        <w:numPr>
          <w:ilvl w:val="0"/>
          <w:numId w:val="2"/>
        </w:numPr>
      </w:pPr>
      <w:r>
        <w:rPr/>
        <w:t xml:space="preserve">Les limites du cadre IF-CAF pour évaluer l'écosystème de la finance islamique dans les pays membres de la BID.
</w:t>
      </w:r>
    </w:p>
    <w:p>
      <w:pPr>
        <w:spacing w:after="0"/>
        <w:numPr>
          <w:ilvl w:val="0"/>
          <w:numId w:val="2"/>
        </w:numPr>
      </w:pPr>
      <w:r>
        <w:rPr/>
        <w:t xml:space="preserve">Les critiques possibles du cadre IF-CAF pour évaluer l'écosystème de la finance islamique dans les pays membres de la BID.
</w:t>
      </w:r>
    </w:p>
    <w:p>
      <w:pPr>
        <w:spacing w:after="0"/>
        <w:numPr>
          <w:ilvl w:val="0"/>
          <w:numId w:val="2"/>
        </w:numPr>
      </w:pPr>
      <w:r>
        <w:rPr/>
        <w:t xml:space="preserve">Les alternatives possibles au cadre IF-CAF pour évaluer l'écosystème de la finance islamique dans les pays membres de la BID.
</w:t>
      </w:r>
    </w:p>
    <w:p>
      <w:pPr>
        <w:numPr>
          <w:ilvl w:val="0"/>
          <w:numId w:val="2"/>
        </w:numPr>
      </w:pPr>
      <w:r>
        <w:rPr/>
        <w:t xml:space="preserve">Les études de cas qui ont utilisé le cadre IF-CAF pour évaluer l'écosystème de la finance islamique dans les pays membres de la BID et leurs résultats.</w:t>
      </w:r>
    </w:p>
    <w:p>
      <w:pPr>
        <w:pStyle w:val="Heading1"/>
      </w:pPr>
      <w:bookmarkStart w:id="6" w:name="_Toc6"/>
      <w:r>
        <w:t>Report location:</w:t>
      </w:r>
      <w:bookmarkEnd w:id="6"/>
    </w:p>
    <w:p>
      <w:hyperlink r:id="rId8" w:history="1">
        <w:r>
          <w:rPr>
            <w:color w:val="2980b9"/>
            <w:u w:val="single"/>
          </w:rPr>
          <w:t xml:space="preserve">https://www.fullpicture.app/item/140bbc3e3a97d69ba070dd280f64367c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0942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sdbinstitute.org/product/islamic-finance-country-assessment-framework-if-caf/" TargetMode="External"/><Relationship Id="rId8" Type="http://schemas.openxmlformats.org/officeDocument/2006/relationships/hyperlink" Target="https://www.fullpicture.app/item/140bbc3e3a97d69ba070dd280f6436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2024-01-07T04:26:51+01:00</dcterms:created>
  <dcterms:modified xsi:type="dcterms:W3CDTF">2024-01-07T04:26:51+01:00</dcterms:modified>
</cp:coreProperties>
</file>

<file path=docProps/custom.xml><?xml version="1.0" encoding="utf-8"?>
<Properties xmlns="http://schemas.openxmlformats.org/officeDocument/2006/custom-properties" xmlns:vt="http://schemas.openxmlformats.org/officeDocument/2006/docPropsVTypes"/>
</file>