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Temporal scale efficiency in DEA panel data estimations. An application to the solid waste disposal service in Spain - ScienceDirect</w:t>
      </w:r>
      <w:br/>
      <w:hyperlink r:id="rId7" w:history="1">
        <w:r>
          <w:rPr>
            <w:color w:val="2980b9"/>
            <w:u w:val="single"/>
          </w:rPr>
          <w:t xml:space="preserve">https://www-sciencedirect-com-s.atrust.cqu.edu.cn/science/article/pii/S0305048316306533</w:t>
        </w:r>
      </w:hyperlink>
    </w:p>
    <w:p>
      <w:pPr>
        <w:pStyle w:val="Heading1"/>
      </w:pPr>
      <w:bookmarkStart w:id="2" w:name="_Toc2"/>
      <w:r>
        <w:t>Article summary:</w:t>
      </w:r>
      <w:bookmarkEnd w:id="2"/>
    </w:p>
    <w:p>
      <w:pPr>
        <w:jc w:val="both"/>
      </w:pPr>
      <w:r>
        <w:rPr/>
        <w:t xml:space="preserve">1. 本文介绍了一种新的方法，可以在时间尺度上评估公共服务的规模效率。该方法基于数据包络分析（DEA）面板数据估计，并能够计算长期规模效率。</w:t>
      </w:r>
    </w:p>
    <w:p>
      <w:pPr>
        <w:jc w:val="both"/>
      </w:pPr>
      <w:r>
        <w:rPr/>
        <w:t xml:space="preserve">2. 文章应用该方法对西班牙1000至50000人口的市政府固体废物处理服务进行了研究。研究发现，规模效率最低的是人口在1000至5000之间的小型市政府。而跨市合作形式的管理方式比其他管理形式更能提高规模效率。</w:t>
      </w:r>
    </w:p>
    <w:p>
      <w:pPr>
        <w:jc w:val="both"/>
      </w:pPr>
      <w:r>
        <w:rPr/>
        <w:t xml:space="preserve">3. 研究还发现，在研究期间，不同管理模式下的固体废物处理服务的规模效率有所增加，但根据考虑的人口水平不同存在一定的变异性。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这篇文章主要探讨了在西班牙固体废物处理服务中的时间尺度效率问题，并使用数据包络分析（DEA）面板数据方法进行估计。然而，这篇文章存在一些潜在的偏见和不足之处。</w:t>
      </w:r>
    </w:p>
    <w:p>
      <w:pPr>
        <w:jc w:val="both"/>
      </w:pPr>
      <w:r>
        <w:rPr/>
        <w:t xml:space="preserve"/>
      </w:r>
    </w:p>
    <w:p>
      <w:pPr>
        <w:jc w:val="both"/>
      </w:pPr>
      <w:r>
        <w:rPr/>
        <w:t xml:space="preserve">首先，文章没有提及可能存在的研究偏见。例如，作者没有明确说明他们选择研究的时间段是否具有代表性，并且是否考虑到可能的外部因素对效率评估的影响。此外，文章也没有提及可能存在的利益冲突或资金来源问题，这可能会对研究结果产生影响。</w:t>
      </w:r>
    </w:p>
    <w:p>
      <w:pPr>
        <w:jc w:val="both"/>
      </w:pPr>
      <w:r>
        <w:rPr/>
        <w:t xml:space="preserve"/>
      </w:r>
    </w:p>
    <w:p>
      <w:pPr>
        <w:jc w:val="both"/>
      </w:pPr>
      <w:r>
        <w:rPr/>
        <w:t xml:space="preserve">其次，文章报道片面。虽然文章提到了不同管理模式对效率的影响，但并未深入探讨其他可能影响效率的因素。例如，文章没有考虑到技术水平、人力资源、环境因素等对效率的潜在影响。</w:t>
      </w:r>
    </w:p>
    <w:p>
      <w:pPr>
        <w:jc w:val="both"/>
      </w:pPr>
      <w:r>
        <w:rPr/>
        <w:t xml:space="preserve"/>
      </w:r>
    </w:p>
    <w:p>
      <w:pPr>
        <w:jc w:val="both"/>
      </w:pPr>
      <w:r>
        <w:rPr/>
        <w:t xml:space="preserve">第三，文章缺乏充分的证据支持其主张。尽管作者声称使用了DEA面板数据方法来估计长期效率得分，并提供了一些结果和结论，但并未详细说明该方法如何应用以及所得出结果的可靠性和准确性。</w:t>
      </w:r>
    </w:p>
    <w:p>
      <w:pPr>
        <w:jc w:val="both"/>
      </w:pPr>
      <w:r>
        <w:rPr/>
        <w:t xml:space="preserve"/>
      </w:r>
    </w:p>
    <w:p>
      <w:pPr>
        <w:jc w:val="both"/>
      </w:pPr>
      <w:r>
        <w:rPr/>
        <w:t xml:space="preserve">此外，在整篇文章中也没有探索反驳观点或其他可能解释结果的因素。这种单一的观点可能导致读者对研究结果的全面性和可靠性产生怀疑。</w:t>
      </w:r>
    </w:p>
    <w:p>
      <w:pPr>
        <w:jc w:val="both"/>
      </w:pPr>
      <w:r>
        <w:rPr/>
        <w:t xml:space="preserve"/>
      </w:r>
    </w:p>
    <w:p>
      <w:pPr>
        <w:jc w:val="both"/>
      </w:pPr>
      <w:r>
        <w:rPr/>
        <w:t xml:space="preserve">最后，文章没有平等地呈现双方观点。虽然文章提到了不同管理模式对效率的影响，但并未探讨其他可能存在的观点或证据，这可能导致读者对作者所提出的结论持怀疑态度。</w:t>
      </w:r>
    </w:p>
    <w:p>
      <w:pPr>
        <w:jc w:val="both"/>
      </w:pPr>
      <w:r>
        <w:rPr/>
        <w:t xml:space="preserve"/>
      </w:r>
    </w:p>
    <w:p>
      <w:pPr>
        <w:jc w:val="both"/>
      </w:pPr>
      <w:r>
        <w:rPr/>
        <w:t xml:space="preserve">综上所述，这篇文章在探讨固体废物处理服务中的时间尺度效率问题时存在一些潜在偏见和不足之处。为了提高其可信度和说服力，未来的研究应该更加全面地考虑各种因素，并提供充分的证据支持其主张。</w:t>
      </w:r>
    </w:p>
    <w:p>
      <w:pPr>
        <w:pStyle w:val="Heading1"/>
      </w:pPr>
      <w:bookmarkStart w:id="5" w:name="_Toc5"/>
      <w:r>
        <w:t>Topics for further research:</w:t>
      </w:r>
      <w:bookmarkEnd w:id="5"/>
    </w:p>
    <w:p>
      <w:pPr>
        <w:spacing w:after="0"/>
        <w:numPr>
          <w:ilvl w:val="0"/>
          <w:numId w:val="2"/>
        </w:numPr>
      </w:pPr>
      <w:r>
        <w:rPr/>
        <w:t xml:space="preserve">研究偏见
</w:t>
      </w:r>
    </w:p>
    <w:p>
      <w:pPr>
        <w:spacing w:after="0"/>
        <w:numPr>
          <w:ilvl w:val="0"/>
          <w:numId w:val="2"/>
        </w:numPr>
      </w:pPr>
      <w:r>
        <w:rPr/>
        <w:t xml:space="preserve">外部因素对效率评估的影响
</w:t>
      </w:r>
    </w:p>
    <w:p>
      <w:pPr>
        <w:spacing w:after="0"/>
        <w:numPr>
          <w:ilvl w:val="0"/>
          <w:numId w:val="2"/>
        </w:numPr>
      </w:pPr>
      <w:r>
        <w:rPr/>
        <w:t xml:space="preserve">利益冲突或资金来源问题
</w:t>
      </w:r>
    </w:p>
    <w:p>
      <w:pPr>
        <w:spacing w:after="0"/>
        <w:numPr>
          <w:ilvl w:val="0"/>
          <w:numId w:val="2"/>
        </w:numPr>
      </w:pPr>
      <w:r>
        <w:rPr/>
        <w:t xml:space="preserve">其他可能影响效率的因素
</w:t>
      </w:r>
    </w:p>
    <w:p>
      <w:pPr>
        <w:spacing w:after="0"/>
        <w:numPr>
          <w:ilvl w:val="0"/>
          <w:numId w:val="2"/>
        </w:numPr>
      </w:pPr>
      <w:r>
        <w:rPr/>
        <w:t xml:space="preserve">DEA面板数据方法的应用和结果可靠性
</w:t>
      </w:r>
    </w:p>
    <w:p>
      <w:pPr>
        <w:numPr>
          <w:ilvl w:val="0"/>
          <w:numId w:val="2"/>
        </w:numPr>
      </w:pPr>
      <w:r>
        <w:rPr/>
        <w:t xml:space="preserve">反驳观点或其他可能解释结果的因素</w:t>
      </w:r>
    </w:p>
    <w:p>
      <w:pPr>
        <w:pStyle w:val="Heading1"/>
      </w:pPr>
      <w:bookmarkStart w:id="6" w:name="_Toc6"/>
      <w:r>
        <w:t>Report location:</w:t>
      </w:r>
      <w:bookmarkEnd w:id="6"/>
    </w:p>
    <w:p>
      <w:hyperlink r:id="rId8" w:history="1">
        <w:r>
          <w:rPr>
            <w:color w:val="2980b9"/>
            <w:u w:val="single"/>
          </w:rPr>
          <w:t xml:space="preserve">https://www.fullpicture.app/item/12ef261129399aa1672d422e13d48009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1FC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atrust.cqu.edu.cn/science/article/pii/S0305048316306533" TargetMode="External"/><Relationship Id="rId8" Type="http://schemas.openxmlformats.org/officeDocument/2006/relationships/hyperlink" Target="https://www.fullpicture.app/item/12ef261129399aa1672d422e13d480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2024-01-14T01:01:57+01:00</dcterms:created>
  <dcterms:modified xsi:type="dcterms:W3CDTF">2024-01-14T01:01:57+01:00</dcterms:modified>
</cp:coreProperties>
</file>

<file path=docProps/custom.xml><?xml version="1.0" encoding="utf-8"?>
<Properties xmlns="http://schemas.openxmlformats.org/officeDocument/2006/custom-properties" xmlns:vt="http://schemas.openxmlformats.org/officeDocument/2006/docPropsVTypes"/>
</file>