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Regulatory Approaches towards E-Cigarettes, Key Arguments, and Approaches Pursued | IntechOpen</w:t>
      </w:r>
      <w:br/>
      <w:hyperlink r:id="rId7" w:history="1">
        <w:r>
          <w:rPr>
            <w:color w:val="2980b9"/>
            <w:u w:val="single"/>
          </w:rPr>
          <w:t xml:space="preserve">https://www.intechopen.com/online-first/83859</w:t>
        </w:r>
      </w:hyperlink>
    </w:p>
    <w:p>
      <w:pPr>
        <w:pStyle w:val="Heading1"/>
      </w:pPr>
      <w:bookmarkStart w:id="2" w:name="_Toc2"/>
      <w:r>
        <w:t>Article summary:</w:t>
      </w:r>
      <w:bookmarkEnd w:id="2"/>
    </w:p>
    <w:p>
      <w:pPr>
        <w:jc w:val="both"/>
      </w:pPr>
      <w:r>
        <w:rPr/>
        <w:t xml:space="preserve">1. 全球烟草控制政策的成功：自1950年代和1960年代以来，公共卫生专家、临床医生和决策者一直致力于减少吸烟，并成功地支持了各种政策和框架的实施，如世界卫生组织（WHO）的《控制烟草框架公约》（FCTC）。</w:t>
      </w:r>
    </w:p>
    <w:p>
      <w:pPr>
        <w:jc w:val="both"/>
      </w:pPr>
      <w:r>
        <w:rPr/>
        <w:t xml:space="preserve">2. 电子烟监管辩论的争议性：与传统烟草产品不同，电子烟的发展引起了全球范围内监管方法的争议。其快速增长、有限的长期健康影响证据以及在不同人群中使用模式等因素导致了政治和公共卫生方面的争议。</w:t>
      </w:r>
    </w:p>
    <w:p>
      <w:pPr>
        <w:jc w:val="both"/>
      </w:pPr>
      <w:r>
        <w:rPr/>
        <w:t xml:space="preserve">3. 研究可以提高对监管环境因素影响的理解：本章建议，该领域的研究可以提高我们对影响监管环境的因素的理解，从而了解为什么采用不同的监管方法。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该文章主要探讨了全球监管电子烟的方法和论点，并提出了一些建议。然而，该文章存在一些潜在的偏见和不足之处。</w:t>
      </w:r>
    </w:p>
    <w:p>
      <w:pPr>
        <w:jc w:val="both"/>
      </w:pPr>
      <w:r>
        <w:rPr/>
        <w:t xml:space="preserve"/>
      </w:r>
    </w:p>
    <w:p>
      <w:pPr>
        <w:jc w:val="both"/>
      </w:pPr>
      <w:r>
        <w:rPr/>
        <w:t xml:space="preserve">首先，该文章没有充分考虑电子烟可能带来的健康风险。虽然电子烟相对于传统香烟可能更安全，但它们仍然包含尼古丁等有害物质，并可能导致呼吸系统问题和其他健康问题。因此，在讨论电子烟监管时，应该平衡考虑其潜在的风险和益处。</w:t>
      </w:r>
    </w:p>
    <w:p>
      <w:pPr>
        <w:jc w:val="both"/>
      </w:pPr>
      <w:r>
        <w:rPr/>
        <w:t xml:space="preserve"/>
      </w:r>
    </w:p>
    <w:p>
      <w:pPr>
        <w:jc w:val="both"/>
      </w:pPr>
      <w:r>
        <w:rPr/>
        <w:t xml:space="preserve">其次，该文章没有涉及到电子烟行业的商业利益和影响。电子烟市场是一个庞大的产业链，其中包括制造商、零售商、广告公司等多个利益相关者。这些利益相关者可能会通过游说政治家、赞助学术研究等方式来影响监管政策。因此，在讨论电子烟监管时，应该注意到这些商业利益和影响。</w:t>
      </w:r>
    </w:p>
    <w:p>
      <w:pPr>
        <w:jc w:val="both"/>
      </w:pPr>
      <w:r>
        <w:rPr/>
        <w:t xml:space="preserve"/>
      </w:r>
    </w:p>
    <w:p>
      <w:pPr>
        <w:jc w:val="both"/>
      </w:pPr>
      <w:r>
        <w:rPr/>
        <w:t xml:space="preserve">此外，该文章没有探讨不同国家或地区对电子烟监管的差异性。不同国家或地区对电子烟的法规和政策可能存在差异，这些差异可能与文化、政治和经济因素有关。因此，在讨论电子烟监管时，应该考虑到这些差异性。</w:t>
      </w:r>
    </w:p>
    <w:p>
      <w:pPr>
        <w:jc w:val="both"/>
      </w:pPr>
      <w:r>
        <w:rPr/>
        <w:t xml:space="preserve"/>
      </w:r>
    </w:p>
    <w:p>
      <w:pPr>
        <w:jc w:val="both"/>
      </w:pPr>
      <w:r>
        <w:rPr/>
        <w:t xml:space="preserve">最后，该文章没有提供足够的证据来支持其主张。例如，文章提到了世界卫生组织制定的烟草控制框架公约和MPOWER框架对于减少吸烟率的作用，但没有提供具体的数据或研究来支持这些主张。因此，在讨论电子烟监管时，应该提供充分的证据来支持所做出的主张。</w:t>
      </w:r>
    </w:p>
    <w:p>
      <w:pPr>
        <w:jc w:val="both"/>
      </w:pPr>
      <w:r>
        <w:rPr/>
        <w:t xml:space="preserve"/>
      </w:r>
    </w:p>
    <w:p>
      <w:pPr>
        <w:jc w:val="both"/>
      </w:pPr>
      <w:r>
        <w:rPr/>
        <w:t xml:space="preserve">总之，尽管该文章提供了一些有价值的信息和建议，但它也存在一些潜在的偏见和不足之处。在讨论电子烟监管时，应该平衡考虑其潜在风险和益处，并注意到商业利益和影响、国家或地区差异性以及提供充分的证据来支持所做出的主张等问题。</w:t>
      </w:r>
    </w:p>
    <w:p>
      <w:pPr>
        <w:pStyle w:val="Heading1"/>
      </w:pPr>
      <w:bookmarkStart w:id="5" w:name="_Toc5"/>
      <w:r>
        <w:t>Topics for further research:</w:t>
      </w:r>
      <w:bookmarkEnd w:id="5"/>
    </w:p>
    <w:p>
      <w:pPr>
        <w:spacing w:after="0"/>
        <w:numPr>
          <w:ilvl w:val="0"/>
          <w:numId w:val="2"/>
        </w:numPr>
      </w:pPr>
      <w:r>
        <w:rPr/>
        <w:t xml:space="preserve">Health risks of e-cigarettes
</w:t>
      </w:r>
    </w:p>
    <w:p>
      <w:pPr>
        <w:spacing w:after="0"/>
        <w:numPr>
          <w:ilvl w:val="0"/>
          <w:numId w:val="2"/>
        </w:numPr>
      </w:pPr>
      <w:r>
        <w:rPr/>
        <w:t xml:space="preserve">Commercial interests and influence in the e-cigarette industry
</w:t>
      </w:r>
    </w:p>
    <w:p>
      <w:pPr>
        <w:spacing w:after="0"/>
        <w:numPr>
          <w:ilvl w:val="0"/>
          <w:numId w:val="2"/>
        </w:numPr>
      </w:pPr>
      <w:r>
        <w:rPr/>
        <w:t xml:space="preserve">Differences in e-cigarette regulation across countries and regions
</w:t>
      </w:r>
    </w:p>
    <w:p>
      <w:pPr>
        <w:spacing w:after="0"/>
        <w:numPr>
          <w:ilvl w:val="0"/>
          <w:numId w:val="2"/>
        </w:numPr>
      </w:pPr>
      <w:r>
        <w:rPr/>
        <w:t xml:space="preserve">Need for evidence to support claims about e-cigarette regulation
</w:t>
      </w:r>
    </w:p>
    <w:p>
      <w:pPr>
        <w:spacing w:after="0"/>
        <w:numPr>
          <w:ilvl w:val="0"/>
          <w:numId w:val="2"/>
        </w:numPr>
      </w:pPr>
      <w:r>
        <w:rPr/>
        <w:t xml:space="preserve">Balancing potential risks and benefits of e-cigarette regulation
</w:t>
      </w:r>
    </w:p>
    <w:p>
      <w:pPr>
        <w:spacing w:after="0"/>
        <w:numPr>
          <w:ilvl w:val="0"/>
          <w:numId w:val="2"/>
        </w:numPr>
      </w:pPr>
      <w:r>
        <w:rPr/>
        <w:t xml:space="preserve">Consideration of cultural</w:t>
      </w:r>
    </w:p>
    <w:p>
      <w:pPr>
        <w:spacing w:after="0"/>
        <w:numPr>
          <w:ilvl w:val="0"/>
          <w:numId w:val="2"/>
        </w:numPr>
      </w:pPr>
      <w:r>
        <w:rPr/>
        <w:t xml:space="preserve">political</w:t>
      </w:r>
    </w:p>
    <w:p>
      <w:pPr>
        <w:numPr>
          <w:ilvl w:val="0"/>
          <w:numId w:val="2"/>
        </w:numPr>
      </w:pPr>
      <w:r>
        <w:rPr/>
        <w:t xml:space="preserve">and economic factors in e-cigarette regulation</w:t>
      </w:r>
    </w:p>
    <w:p>
      <w:pPr>
        <w:pStyle w:val="Heading1"/>
      </w:pPr>
      <w:bookmarkStart w:id="6" w:name="_Toc6"/>
      <w:r>
        <w:t>Report location:</w:t>
      </w:r>
      <w:bookmarkEnd w:id="6"/>
    </w:p>
    <w:p>
      <w:hyperlink r:id="rId8" w:history="1">
        <w:r>
          <w:rPr>
            <w:color w:val="2980b9"/>
            <w:u w:val="single"/>
          </w:rPr>
          <w:t xml:space="preserve">https://www.fullpicture.app/item/12b3f8334c3d838fdb5aebb625a67b6e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B38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chopen.com/online-first/83859" TargetMode="External"/><Relationship Id="rId8" Type="http://schemas.openxmlformats.org/officeDocument/2006/relationships/hyperlink" Target="https://www.fullpicture.app/item/12b3f8334c3d838fdb5aebb625a67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2023-12-13T23:15:01+01:00</dcterms:created>
  <dcterms:modified xsi:type="dcterms:W3CDTF">2023-12-13T23:15:01+01:00</dcterms:modified>
</cp:coreProperties>
</file>

<file path=docProps/custom.xml><?xml version="1.0" encoding="utf-8"?>
<Properties xmlns="http://schemas.openxmlformats.org/officeDocument/2006/custom-properties" xmlns:vt="http://schemas.openxmlformats.org/officeDocument/2006/docPropsVTypes"/>
</file>