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Prussian blue analog with separated active sites to catalyze water driven enhanced catalytic treatments - PubMed --- 具有分离活性位点的普鲁士蓝类似物可催化水驱动的增强催化处理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https://pubmed.ncbi.nlm.nih.gov/37543632/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本研究报道了一种具有分离活性位点的普鲁士蓝类似物，可用于催化水驱动的增强催化处理。</w:t>
      </w:r>
    </w:p>
    <w:p>
      <w:pPr>
        <w:jc w:val="both"/>
      </w:pPr>
      <w:r>
        <w:rPr/>
        <w:t xml:space="preserve">2. 这种普鲁士蓝类似物能够有效地催化水中的反应，提高反应速率和效率。</w:t>
      </w:r>
    </w:p>
    <w:p>
      <w:pPr>
        <w:jc w:val="both"/>
      </w:pPr>
      <w:r>
        <w:rPr/>
        <w:t xml:space="preserve">3. 该研究还探讨了普鲁士蓝类似物的结构和活性位点之间的关系，并提出了一种可能的催化机制。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spacing w:after="0"/>
        <w:numPr>
          <w:ilvl w:val="0"/>
          <w:numId w:val="2"/>
        </w:numPr>
      </w:pPr>
      <w:r>
        <w:rPr/>
        <w:t xml:space="preserve">Google 中使用
</w:t>
      </w:r>
    </w:p>
    <w:p>
      <w:pPr>
        <w:spacing w:after="0"/>
        <w:numPr>
          <w:ilvl w:val="0"/>
          <w:numId w:val="2"/>
        </w:numPr>
      </w:pPr>
      <w:r>
        <w:rPr/>
        <w:t xml:space="preserve">更好地理解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
</w:t>
      </w:r>
    </w:p>
    <w:p>
      <w:pPr>
        <w:spacing w:after="0"/>
        <w:numPr>
          <w:ilvl w:val="0"/>
          <w:numId w:val="2"/>
        </w:numPr>
      </w:pPr>
      <w:r>
        <w:rPr/>
        <w:t xml:space="preserve">文章中
</w:t>
      </w:r>
    </w:p>
    <w:p>
      <w:pPr>
        <w:numPr>
          <w:ilvl w:val="0"/>
          <w:numId w:val="2"/>
        </w:numPr>
      </w:pPr>
      <w:r>
        <w:rPr/>
        <w:t xml:space="preserve">批判性分析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https://www.fullpicture.app/item/0e9643dacb3d852bde234c4872890b23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DD7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543632/" TargetMode="External"/><Relationship Id="rId8" Type="http://schemas.openxmlformats.org/officeDocument/2006/relationships/hyperlink" Target="https://www.fullpicture.app/item/0e9643dacb3d852bde234c4872890b2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2023-11-23T17:18:31+01:00</dcterms:created>
  <dcterms:modified xsi:type="dcterms:W3CDTF">2023-11-23T17:18:31+01:00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