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Perovskite-type superlattices from lead halide perovskite nanocubes | Nature</w:t>
      </w:r>
      <w:br/>
      <w:hyperlink r:id="rId7" w:history="1">
        <w:r>
          <w:rPr>
            <w:color w:val="2980b9"/>
            <w:u w:val="single"/>
          </w:rPr>
          <w:t xml:space="preserve">https://www.nature.com/articles/s41586-021-03492-5</w:t>
        </w:r>
      </w:hyperlink>
    </w:p>
    <w:p>
      <w:pPr>
        <w:pStyle w:val="Heading1"/>
      </w:pPr>
      <w:bookmarkStart w:id="2" w:name="_Toc2"/>
      <w:r>
        <w:t>Article summary:</w:t>
      </w:r>
      <w:bookmarkEnd w:id="2"/>
    </w:p>
    <w:p>
      <w:pPr>
        <w:jc w:val="both"/>
      </w:pPr>
      <w:r>
        <w:rPr/>
        <w:t xml:space="preserve">1. Scientists have successfully created perovskite-type superlattices using a combination of cubic and spherical steric-stabilized nanocrystals, resulting in vastly different outcomes compared to all-spherical systems.</w:t>
      </w:r>
    </w:p>
    <w:p>
      <w:pPr>
        <w:jc w:val="both"/>
      </w:pPr>
      <w:r>
        <w:rPr/>
        <w:t xml:space="preserve">2. The perovskite-based mesostructures exhibit superfluorescence, characterized by ultrafast radiative decay and Burnham-Chiao ringing behavior.</w:t>
      </w:r>
    </w:p>
    <w:p>
      <w:pPr>
        <w:jc w:val="both"/>
      </w:pPr>
      <w:r>
        <w:rPr/>
        <w:t xml:space="preserve">3. The formation of these nanocrystal superlattices was achieved through a balance between enthalpic contributions and entropic interactions, with entropy prevailing for steric-stabilized colloids of apolar nanocrystals.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discusses the formation of perovskite-type superlattices from lead halide perovskite nanocubes and their potential for collective emission through superfluorescence. The authors present experimental evidence of binary and ternary nanocrystal superlattices, including ABO3-type and NaCl-type structures, which exhibit a high degree of orientational order. They also demonstrate that these mesostructures exhibit superfluorescence, characterized by ultrafast radiative decay and Burnham-Chiao ringing behavior.</w:t>
      </w:r>
    </w:p>
    <w:p>
      <w:pPr>
        <w:jc w:val="both"/>
      </w:pPr>
      <w:r>
        <w:rPr/>
        <w:t xml:space="preserve"/>
      </w:r>
    </w:p>
    <w:p>
      <w:pPr>
        <w:jc w:val="both"/>
      </w:pPr>
      <w:r>
        <w:rPr/>
        <w:t xml:space="preserve">Overall, the article provides a detailed analysis of the formation and properties of perovskite-type superlattices. However, there are some potential biases and limitations to consider. </w:t>
      </w:r>
    </w:p>
    <w:p>
      <w:pPr>
        <w:jc w:val="both"/>
      </w:pPr>
      <w:r>
        <w:rPr/>
        <w:t xml:space="preserve"/>
      </w:r>
    </w:p>
    <w:p>
      <w:pPr>
        <w:jc w:val="both"/>
      </w:pPr>
      <w:r>
        <w:rPr/>
        <w:t xml:space="preserve">Firstly, the article focuses primarily on the positive aspects of perovskite-based mesostructures, such as their potential for collective emission through superfluorescence. While this is an important area of research, it would be useful to also discuss any potential risks or drawbacks associated with these materials. For example, there have been concerns about the stability and toxicity of lead-based perovskites in certain applications.</w:t>
      </w:r>
    </w:p>
    <w:p>
      <w:pPr>
        <w:jc w:val="both"/>
      </w:pPr>
      <w:r>
        <w:rPr/>
        <w:t xml:space="preserve"/>
      </w:r>
    </w:p>
    <w:p>
      <w:pPr>
        <w:jc w:val="both"/>
      </w:pPr>
      <w:r>
        <w:rPr/>
        <w:t xml:space="preserve">Secondly, the article does not provide much information on the synthesis or characterization methods used to create these superlattices. This could limit the reproducibility or scalability of these materials in future research.</w:t>
      </w:r>
    </w:p>
    <w:p>
      <w:pPr>
        <w:jc w:val="both"/>
      </w:pPr>
      <w:r>
        <w:rPr/>
        <w:t xml:space="preserve"/>
      </w:r>
    </w:p>
    <w:p>
      <w:pPr>
        <w:jc w:val="both"/>
      </w:pPr>
      <w:r>
        <w:rPr/>
        <w:t xml:space="preserve">Additionally, while the authors mention that cubic perovskite nanocrystals add a degree of freedom in terms of relative orientation within the unit cell compared to spherical nanocrystals, they do not explore any potential challenges or limitations associated with this added complexity.</w:t>
      </w:r>
    </w:p>
    <w:p>
      <w:pPr>
        <w:jc w:val="both"/>
      </w:pPr>
      <w:r>
        <w:rPr/>
        <w:t xml:space="preserve"/>
      </w:r>
    </w:p>
    <w:p>
      <w:pPr>
        <w:jc w:val="both"/>
      </w:pPr>
      <w:r>
        <w:rPr/>
        <w:t xml:space="preserve">Finally, while the authors briefly mention previous work on superfluorescence in other systems such as CuCl-doped NaCl and InGaAs quantum wells, they do not provide a comprehensive comparison between these systems and perovskite-based mesostructures. This could limit our understanding of how these different materials compare in terms of their potential for collective emission.</w:t>
      </w:r>
    </w:p>
    <w:p>
      <w:pPr>
        <w:jc w:val="both"/>
      </w:pPr>
      <w:r>
        <w:rPr/>
        <w:t xml:space="preserve"/>
      </w:r>
    </w:p>
    <w:p>
      <w:pPr>
        <w:jc w:val="both"/>
      </w:pPr>
      <w:r>
        <w:rPr/>
        <w:t xml:space="preserve">In conclusion, while the article provides valuable insights into the formation and properties of perovskite-type superlattices, there are some potential biases and limitations to consider. Further research is needed to fully understand the potential benefits and drawbacks associated with these materials for various applications.</w:t>
      </w:r>
    </w:p>
    <w:p>
      <w:pPr>
        <w:pStyle w:val="Heading1"/>
      </w:pPr>
      <w:bookmarkStart w:id="5" w:name="_Toc5"/>
      <w:r>
        <w:t>Topics for further research:</w:t>
      </w:r>
      <w:bookmarkEnd w:id="5"/>
    </w:p>
    <w:p>
      <w:pPr>
        <w:spacing w:after="0"/>
        <w:numPr>
          <w:ilvl w:val="0"/>
          <w:numId w:val="2"/>
        </w:numPr>
      </w:pPr>
      <w:r>
        <w:rPr/>
        <w:t xml:space="preserve">Potential risks and toxicity of lead-based perovskites
</w:t>
      </w:r>
    </w:p>
    <w:p>
      <w:pPr>
        <w:spacing w:after="0"/>
        <w:numPr>
          <w:ilvl w:val="0"/>
          <w:numId w:val="2"/>
        </w:numPr>
      </w:pPr>
      <w:r>
        <w:rPr/>
        <w:t xml:space="preserve">Synthesis and characterization methods for perovskite-type superlattices
</w:t>
      </w:r>
    </w:p>
    <w:p>
      <w:pPr>
        <w:spacing w:after="0"/>
        <w:numPr>
          <w:ilvl w:val="0"/>
          <w:numId w:val="2"/>
        </w:numPr>
      </w:pPr>
      <w:r>
        <w:rPr/>
        <w:t xml:space="preserve">Challenges and limitations of relative orientation in perovskite nanocrystals
</w:t>
      </w:r>
    </w:p>
    <w:p>
      <w:pPr>
        <w:spacing w:after="0"/>
        <w:numPr>
          <w:ilvl w:val="0"/>
          <w:numId w:val="2"/>
        </w:numPr>
      </w:pPr>
      <w:r>
        <w:rPr/>
        <w:t xml:space="preserve">Comparison of superfluorescence in perovskite-based mesostructures and other systems
</w:t>
      </w:r>
    </w:p>
    <w:p>
      <w:pPr>
        <w:spacing w:after="0"/>
        <w:numPr>
          <w:ilvl w:val="0"/>
          <w:numId w:val="2"/>
        </w:numPr>
      </w:pPr>
      <w:r>
        <w:rPr/>
        <w:t xml:space="preserve">Applications of perovskite-type superlattices beyond collective emission
</w:t>
      </w:r>
    </w:p>
    <w:p>
      <w:pPr>
        <w:numPr>
          <w:ilvl w:val="0"/>
          <w:numId w:val="2"/>
        </w:numPr>
      </w:pPr>
      <w:r>
        <w:rPr/>
        <w:t xml:space="preserve">Stability and durability of perovskite-based mesostructures in various environments</w:t>
      </w:r>
    </w:p>
    <w:p>
      <w:pPr>
        <w:pStyle w:val="Heading1"/>
      </w:pPr>
      <w:bookmarkStart w:id="6" w:name="_Toc6"/>
      <w:r>
        <w:t>Report location:</w:t>
      </w:r>
      <w:bookmarkEnd w:id="6"/>
    </w:p>
    <w:p>
      <w:hyperlink r:id="rId8" w:history="1">
        <w:r>
          <w:rPr>
            <w:color w:val="2980b9"/>
            <w:u w:val="single"/>
          </w:rPr>
          <w:t xml:space="preserve">https://www.fullpicture.app/item/0b99dcff1a46e46d7adb73995d6c9447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C02EC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86-021-03492-5" TargetMode="External"/><Relationship Id="rId8" Type="http://schemas.openxmlformats.org/officeDocument/2006/relationships/hyperlink" Target="https://www.fullpicture.app/item/0b99dcff1a46e46d7adb73995d6c944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2024-01-05T12:53:12+01:00</dcterms:created>
  <dcterms:modified xsi:type="dcterms:W3CDTF">2024-01-05T12:53:12+01:00</dcterms:modified>
</cp:coreProperties>
</file>

<file path=docProps/custom.xml><?xml version="1.0" encoding="utf-8"?>
<Properties xmlns="http://schemas.openxmlformats.org/officeDocument/2006/custom-properties" xmlns:vt="http://schemas.openxmlformats.org/officeDocument/2006/docPropsVTypes"/>
</file>