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mutual fund illiquidity introduce fragility into asset prices? Evidence from the corporate bond market - ScienceDirect</w:t>
      </w:r>
      <w:br/>
      <w:hyperlink r:id="rId7" w:history="1">
        <w:r>
          <w:rPr>
            <w:color w:val="2980b9"/>
            <w:u w:val="single"/>
          </w:rPr>
          <w:t xml:space="preserve">https://vpn.jlu.edu.cn/https/6a6c7576706e6973746865676f6f642146ab1ccab988c2a628982887fb4b0f3fca7e3a30a5/science/article/pii/S0304405X2100204X</w:t>
        </w:r>
      </w:hyperlink>
    </w:p>
    <w:p>
      <w:pPr>
        <w:pStyle w:val="Heading1"/>
      </w:pPr>
      <w:bookmarkStart w:id="2" w:name="_Toc2"/>
      <w:r>
        <w:t>Article summary:</w:t>
      </w:r>
      <w:bookmarkEnd w:id="2"/>
    </w:p>
    <w:p>
      <w:pPr>
        <w:jc w:val="both"/>
      </w:pPr>
      <w:r>
        <w:rPr/>
        <w:t xml:space="preserve">1. Open-end bond funds have experienced substantial growth and become a significant player in the credit market, holding approximately 11% of the US fixed income market and 20% of corporate bonds outstanding.</w:t>
      </w:r>
    </w:p>
    <w:p>
      <w:pPr>
        <w:jc w:val="both"/>
      </w:pPr>
      <w:r>
        <w:rPr/>
        <w:t xml:space="preserve">2. The asset illiquidity of mutual funds renders them vulnerable to investor runs, which may create fragility in the mutual fund sector and introduce fragility into the corporate bond market.</w:t>
      </w:r>
    </w:p>
    <w:p>
      <w:pPr>
        <w:jc w:val="both"/>
      </w:pPr>
      <w:r>
        <w:rPr/>
        <w:t xml:space="preserve">3. A novel bond-level measure of latent fragility based on the asset illiquidity of a bond’s mutual fund holders predicts a bond’s return volatility, with higher fragility associated with higher future return volatility. The link between fragility and outflows-induced selling by mutual funds holding the bond is the key source of predictive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该文章提出了一个有趣的问题，即互惠基金的流动性是否会引入脆弱性到资产价格中。然而，该文章存在一些潜在的偏见和局限性。</w:t>
      </w:r>
    </w:p>
    <w:p>
      <w:pPr>
        <w:jc w:val="both"/>
      </w:pPr>
      <w:r>
        <w:rPr/>
        <w:t xml:space="preserve"/>
      </w:r>
    </w:p>
    <w:p>
      <w:pPr>
        <w:jc w:val="both"/>
      </w:pPr>
      <w:r>
        <w:rPr/>
        <w:t xml:space="preserve">首先，该文章没有考虑到其他因素可能对债券价格波动产生影响。例如，宏观经济因素、市场情绪和政策变化等都可能对债券价格产生重大影响。因此，作者不能将所有波动归因于互惠基金的流动性。</w:t>
      </w:r>
    </w:p>
    <w:p>
      <w:pPr>
        <w:jc w:val="both"/>
      </w:pPr>
      <w:r>
        <w:rPr/>
        <w:t xml:space="preserve"/>
      </w:r>
    </w:p>
    <w:p>
      <w:pPr>
        <w:jc w:val="both"/>
      </w:pPr>
      <w:r>
        <w:rPr/>
        <w:t xml:space="preserve">其次，该文章没有探讨互惠基金持有人之间的差异如何影响债券价格。例如，某些投资者可能更愿意长期持有债券，而另一些则更愿意进行短期交易。这种差异可能会导致不同类型的投资者对同一债券的反应不同。</w:t>
      </w:r>
    </w:p>
    <w:p>
      <w:pPr>
        <w:jc w:val="both"/>
      </w:pPr>
      <w:r>
        <w:rPr/>
        <w:t xml:space="preserve"/>
      </w:r>
    </w:p>
    <w:p>
      <w:pPr>
        <w:jc w:val="both"/>
      </w:pPr>
      <w:r>
        <w:rPr/>
        <w:t xml:space="preserve">此外，在评估互惠基金流动性对债券价格波动的影响时，作者没有考虑到其他市场参与者可能采取的行动。例如，其他机构投资者或个人投资者也可以在面临负面冲击时采取类似于互惠基金持有人的行为。</w:t>
      </w:r>
    </w:p>
    <w:p>
      <w:pPr>
        <w:jc w:val="both"/>
      </w:pPr>
      <w:r>
        <w:rPr/>
        <w:t xml:space="preserve"/>
      </w:r>
    </w:p>
    <w:p>
      <w:pPr>
        <w:jc w:val="both"/>
      </w:pPr>
      <w:r>
        <w:rPr/>
        <w:t xml:space="preserve">最后，在讨论风险时，作者没有平等地呈现双方。他们只关注了互惠基金持有人可能面临的风险，而没有考虑到其他市场参与者可能面临的风险。这种偏袒可能会导致作者对问题的理解不够全面。</w:t>
      </w:r>
    </w:p>
    <w:p>
      <w:pPr>
        <w:jc w:val="both"/>
      </w:pPr>
      <w:r>
        <w:rPr/>
        <w:t xml:space="preserve"/>
      </w:r>
    </w:p>
    <w:p>
      <w:pPr>
        <w:jc w:val="both"/>
      </w:pPr>
      <w:r>
        <w:rPr/>
        <w:t xml:space="preserve">综上所述，该文章提出了一个有趣的问题，但存在一些潜在的偏见和局限性。为了更好地理解互惠基金流动性对债券价格波动的影响，需要进一步研究其他因素和市场参与者的行为。</w:t>
      </w:r>
    </w:p>
    <w:p>
      <w:pPr>
        <w:pStyle w:val="Heading1"/>
      </w:pPr>
      <w:bookmarkStart w:id="5" w:name="_Toc5"/>
      <w:r>
        <w:t>Topics for further research:</w:t>
      </w:r>
      <w:bookmarkEnd w:id="5"/>
    </w:p>
    <w:p>
      <w:pPr>
        <w:spacing w:after="0"/>
        <w:numPr>
          <w:ilvl w:val="0"/>
          <w:numId w:val="2"/>
        </w:numPr>
      </w:pPr>
      <w:r>
        <w:rPr/>
        <w:t xml:space="preserve">Other factors affecting bond prices
</w:t>
      </w:r>
    </w:p>
    <w:p>
      <w:pPr>
        <w:spacing w:after="0"/>
        <w:numPr>
          <w:ilvl w:val="0"/>
          <w:numId w:val="2"/>
        </w:numPr>
      </w:pPr>
      <w:r>
        <w:rPr/>
        <w:t xml:space="preserve">Differences in investor behavior
</w:t>
      </w:r>
    </w:p>
    <w:p>
      <w:pPr>
        <w:spacing w:after="0"/>
        <w:numPr>
          <w:ilvl w:val="0"/>
          <w:numId w:val="2"/>
        </w:numPr>
      </w:pPr>
      <w:r>
        <w:rPr/>
        <w:t xml:space="preserve">Actions of other market participants
</w:t>
      </w:r>
    </w:p>
    <w:p>
      <w:pPr>
        <w:spacing w:after="0"/>
        <w:numPr>
          <w:ilvl w:val="0"/>
          <w:numId w:val="2"/>
        </w:numPr>
      </w:pPr>
      <w:r>
        <w:rPr/>
        <w:t xml:space="preserve">Risks faced by other market participants
</w:t>
      </w:r>
    </w:p>
    <w:p>
      <w:pPr>
        <w:spacing w:after="0"/>
        <w:numPr>
          <w:ilvl w:val="0"/>
          <w:numId w:val="2"/>
        </w:numPr>
      </w:pPr>
      <w:r>
        <w:rPr/>
        <w:t xml:space="preserve">Potential biases in the article
</w:t>
      </w:r>
    </w:p>
    <w:p>
      <w:pPr>
        <w:numPr>
          <w:ilvl w:val="0"/>
          <w:numId w:val="2"/>
        </w:numPr>
      </w:pPr>
      <w:r>
        <w:rPr/>
        <w:t xml:space="preserve">Need for further research</w:t>
      </w:r>
    </w:p>
    <w:p>
      <w:pPr>
        <w:pStyle w:val="Heading1"/>
      </w:pPr>
      <w:bookmarkStart w:id="6" w:name="_Toc6"/>
      <w:r>
        <w:t>Report location:</w:t>
      </w:r>
      <w:bookmarkEnd w:id="6"/>
    </w:p>
    <w:p>
      <w:hyperlink r:id="rId8" w:history="1">
        <w:r>
          <w:rPr>
            <w:color w:val="2980b9"/>
            <w:u w:val="single"/>
          </w:rPr>
          <w:t xml:space="preserve">https://www.fullpicture.app/item/0ab924523bfabd7d8e94e1491202c986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EF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2100204X" TargetMode="External"/><Relationship Id="rId8" Type="http://schemas.openxmlformats.org/officeDocument/2006/relationships/hyperlink" Target="https://www.fullpicture.app/item/0ab924523bfabd7d8e94e1491202c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2024-03-02T10:31:33+01:00</dcterms:created>
  <dcterms:modified xsi:type="dcterms:W3CDTF">2024-03-02T10:31:33+01:00</dcterms:modified>
</cp:coreProperties>
</file>

<file path=docProps/custom.xml><?xml version="1.0" encoding="utf-8"?>
<Properties xmlns="http://schemas.openxmlformats.org/officeDocument/2006/custom-properties" xmlns:vt="http://schemas.openxmlformats.org/officeDocument/2006/docPropsVTypes"/>
</file>