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Fund Flows and Asset Valuations of Bond Mutual Funds: Effect of Side-by-Side Management - ScienceDirect</w:t>
      </w:r>
      <w:br/>
      <w:hyperlink r:id="rId7" w:history="1">
        <w:r>
          <w:rPr>
            <w:color w:val="2980b9"/>
            <w:u w:val="single"/>
          </w:rPr>
          <w:t xml:space="preserve">https://www.sciencedirect.com/science/article/pii/S0378426623001607</w:t>
        </w:r>
      </w:hyperlink>
    </w:p>
    <w:p>
      <w:pPr>
        <w:pStyle w:val="Heading1"/>
      </w:pPr>
      <w:bookmarkStart w:id="2" w:name="_Toc2"/>
      <w:r>
        <w:t>Article summary:</w:t>
      </w:r>
      <w:bookmarkEnd w:id="2"/>
    </w:p>
    <w:p>
      <w:pPr>
        <w:jc w:val="both"/>
      </w:pPr>
      <w:r>
        <w:rPr/>
        <w:t xml:space="preserve">1. Investment advisory firms that manage both mutual funds and hedge funds may face conflicts of interest due to differences in fee structures. This can lead to the transfer of profits from mutual funds to hedge funds, resulting in underperformance of the mutual funds.</w:t>
      </w:r>
    </w:p>
    <w:p>
      <w:pPr>
        <w:jc w:val="both"/>
      </w:pPr>
      <w:r>
        <w:rPr/>
        <w:t xml:space="preserve">2. The underperformance of side-by-side managed (SBS) funds compared to non-SBS funds is evidence of the conflict of interest. Investors may respond by investing less in SBS funds, particularly those that underperform.</w:t>
      </w:r>
    </w:p>
    <w:p>
      <w:pPr>
        <w:jc w:val="both"/>
      </w:pPr>
      <w:r>
        <w:rPr/>
        <w:t xml:space="preserve">3. Advisors of SBS funds may overstate the fair valuations of their holdings in order to reduce fund outflows. This overstatement is stronger for underperforming funds and those with less liquid bond holdings, but weaker for funds with more cash holdings.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不同类型投资产品的并行管理对基金流动和资产估值的影响。文章指出，投资咨询公司同时管理不同类型的投资产品可以在研究质量和运营效率方面实现规模经济，但也会产生利益冲突。具体来说，由于不同产品之间的管理费用结构存在差异，投资咨询公司有动机通过将利润从共同基金转移到对冲基金来报告更大的利润。这种并行管理可能会损害共同基金投资者的利益，并导致共同基金表现不佳。</w:t>
      </w:r>
    </w:p>
    <w:p>
      <w:pPr>
        <w:jc w:val="both"/>
      </w:pPr>
      <w:r>
        <w:rPr/>
        <w:t xml:space="preserve"/>
      </w:r>
    </w:p>
    <w:p>
      <w:pPr>
        <w:jc w:val="both"/>
      </w:pPr>
      <w:r>
        <w:rPr/>
        <w:t xml:space="preserve">然而，这篇文章存在一些潜在偏见和片面报道。首先，文章没有提供足够的证据来支持其关于冲突利益影响的主张。虽然文章提到了一些研究发现SBS基金表现不佳，但没有提供其他可能解释这种表现差异的因素。其次，文章没有充分考虑到经济规模对研究质量和运营效率的积极影响。如果经济规模确实能够抵消冲突利益带来的成本，那么客户投资者可能并不认为SBS基金存在问题。</w:t>
      </w:r>
    </w:p>
    <w:p>
      <w:pPr>
        <w:jc w:val="both"/>
      </w:pPr>
      <w:r>
        <w:rPr/>
        <w:t xml:space="preserve"/>
      </w:r>
    </w:p>
    <w:p>
      <w:pPr>
        <w:jc w:val="both"/>
      </w:pPr>
      <w:r>
        <w:rPr/>
        <w:t xml:space="preserve">此外，文章没有提供足够的证据来支持其关于资产估值夸大的主张。虽然文章指出SBS基金的资产估值被夸大了0.12%，但没有提供其他可能解释这种差异的因素。文章还没有探讨可能存在的反驳观点，例如投资咨询公司可能会有动机低估资产价值以吸引更多投资者。</w:t>
      </w:r>
    </w:p>
    <w:p>
      <w:pPr>
        <w:jc w:val="both"/>
      </w:pPr>
      <w:r>
        <w:rPr/>
        <w:t xml:space="preserve"/>
      </w:r>
    </w:p>
    <w:p>
      <w:pPr>
        <w:jc w:val="both"/>
      </w:pPr>
      <w:r>
        <w:rPr/>
        <w:t xml:space="preserve">此外，文章没有平等地呈现双方观点。它主要关注了冲突利益对共同基金投资者的负面影响，而忽视了经济规模和研究质量对共同基金投资者带来的潜在好处。</w:t>
      </w:r>
    </w:p>
    <w:p>
      <w:pPr>
        <w:jc w:val="both"/>
      </w:pPr>
      <w:r>
        <w:rPr/>
        <w:t xml:space="preserve"/>
      </w:r>
    </w:p>
    <w:p>
      <w:pPr>
        <w:jc w:val="both"/>
      </w:pPr>
      <w:r>
        <w:rPr/>
        <w:t xml:space="preserve">总之，这篇文章在探讨并行管理对基金流动和资产估值的影响时存在一些偏见和不足之处。它需要更多的证据来支持其主张，并充分考虑到其他可能解释这些现象的因素。同时，它也应该平等地呈现双方观点，并探索可能存在的风险和好处。</w:t>
      </w:r>
    </w:p>
    <w:p>
      <w:pPr>
        <w:pStyle w:val="Heading1"/>
      </w:pPr>
      <w:bookmarkStart w:id="5" w:name="_Toc5"/>
      <w:r>
        <w:t>Topics for further research:</w:t>
      </w:r>
      <w:bookmarkEnd w:id="5"/>
    </w:p>
    <w:p>
      <w:pPr>
        <w:spacing w:after="0"/>
        <w:numPr>
          <w:ilvl w:val="0"/>
          <w:numId w:val="2"/>
        </w:numPr>
      </w:pPr>
      <w:r>
        <w:rPr/>
        <w:t xml:space="preserve">不同类型投资产品的并行管理对基金流动和资产估值的影响
</w:t>
      </w:r>
    </w:p>
    <w:p>
      <w:pPr>
        <w:spacing w:after="0"/>
        <w:numPr>
          <w:ilvl w:val="0"/>
          <w:numId w:val="2"/>
        </w:numPr>
      </w:pPr>
      <w:r>
        <w:rPr/>
        <w:t xml:space="preserve">投资咨询公司管理不同类型投资产品的规模经济和利益冲突
</w:t>
      </w:r>
    </w:p>
    <w:p>
      <w:pPr>
        <w:spacing w:after="0"/>
        <w:numPr>
          <w:ilvl w:val="0"/>
          <w:numId w:val="2"/>
        </w:numPr>
      </w:pPr>
      <w:r>
        <w:rPr/>
        <w:t xml:space="preserve">缺乏足够证据支持冲突利益对共同基金投资者的负面影响
</w:t>
      </w:r>
    </w:p>
    <w:p>
      <w:pPr>
        <w:spacing w:after="0"/>
        <w:numPr>
          <w:ilvl w:val="0"/>
          <w:numId w:val="2"/>
        </w:numPr>
      </w:pPr>
      <w:r>
        <w:rPr/>
        <w:t xml:space="preserve">没有充分考虑经济规模对研究质量和运营效率的积极影响
</w:t>
      </w:r>
    </w:p>
    <w:p>
      <w:pPr>
        <w:spacing w:after="0"/>
        <w:numPr>
          <w:ilvl w:val="0"/>
          <w:numId w:val="2"/>
        </w:numPr>
      </w:pPr>
      <w:r>
        <w:rPr/>
        <w:t xml:space="preserve">缺乏足够证据支持资产估值夸大的主张
</w:t>
      </w:r>
    </w:p>
    <w:p>
      <w:pPr>
        <w:numPr>
          <w:ilvl w:val="0"/>
          <w:numId w:val="2"/>
        </w:numPr>
      </w:pPr>
      <w:r>
        <w:rPr/>
        <w:t xml:space="preserve">文章没有平等地呈现双方观点，忽视了共同基金投资者的潜在好处。</w:t>
      </w:r>
    </w:p>
    <w:p>
      <w:pPr>
        <w:pStyle w:val="Heading1"/>
      </w:pPr>
      <w:bookmarkStart w:id="6" w:name="_Toc6"/>
      <w:r>
        <w:t>Report location:</w:t>
      </w:r>
      <w:bookmarkEnd w:id="6"/>
    </w:p>
    <w:p>
      <w:hyperlink r:id="rId8" w:history="1">
        <w:r>
          <w:rPr>
            <w:color w:val="2980b9"/>
            <w:u w:val="single"/>
          </w:rPr>
          <w:t xml:space="preserve">https://www.fullpicture.app/item/0271d3361a6877fa91128a1426dd3311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739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426623001607" TargetMode="External"/><Relationship Id="rId8" Type="http://schemas.openxmlformats.org/officeDocument/2006/relationships/hyperlink" Target="https://www.fullpicture.app/item/0271d3361a6877fa91128a1426dd33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2024-07-15T18:50:24+02:00</dcterms:created>
  <dcterms:modified xsi:type="dcterms:W3CDTF">2024-07-15T18:50:24+02:00</dcterms:modified>
</cp:coreProperties>
</file>

<file path=docProps/custom.xml><?xml version="1.0" encoding="utf-8"?>
<Properties xmlns="http://schemas.openxmlformats.org/officeDocument/2006/custom-properties" xmlns:vt="http://schemas.openxmlformats.org/officeDocument/2006/docPropsVTypes"/>
</file>