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VIII-1864 Lietuvos Respublikos civilinio kodekso patvirtinimo, įsigaliojimo ir įgyvendinimo įstatymas. Civi...</w:t>
      </w:r>
      <w:br/>
      <w:hyperlink r:id="rId7" w:history="1">
        <w:r>
          <w:rPr>
            <w:color w:val="2980b9"/>
            <w:u w:val="single"/>
          </w:rPr>
          <w:t xml:space="preserve">https://e-seimas.lrs.lt/portal/legalAct/lt/TAD/TAIS.107687</w:t>
        </w:r>
      </w:hyperlink>
    </w:p>
    <w:p>
      <w:pPr>
        <w:pStyle w:val="Heading1"/>
      </w:pPr>
      <w:bookmarkStart w:id="2" w:name="_Toc2"/>
      <w:r>
        <w:t>Article summary:</w:t>
      </w:r>
      <w:bookmarkEnd w:id="2"/>
    </w:p>
    <w:p>
      <w:pPr>
        <w:jc w:val="both"/>
      </w:pPr>
      <w:r>
        <w:rPr/>
        <w:t xml:space="preserve">1. Įstatymo pavadinimas ir duomenys: Straipsnis apie VIII-1864 Lietuvos Respublikos civilinio kodekso patvirtinimą, įsigaliojimą ir įgyvendinimą. Tai yra oficialus dokumentas, kuris buvo priimtas 2000 m. liepos 18 d.</w:t>
      </w:r>
    </w:p>
    <w:p>
      <w:pPr>
        <w:jc w:val="both"/>
      </w:pPr>
      <w:r>
        <w:rPr/>
        <w:t xml:space="preserve"/>
      </w:r>
    </w:p>
    <w:p>
      <w:pPr>
        <w:jc w:val="both"/>
      </w:pPr>
      <w:r>
        <w:rPr/>
        <w:t xml:space="preserve">2. Galiojimo data ir redakcijos: Šis įstatymas galioja nuo 2023 m. gegužės 1 d. iki 2024 m. balandžio 30 d. Taip pat pateikiami registravimo duomenys, numeris ir suvestinių redakcijų sąrašas pagal datą.</w:t>
      </w:r>
    </w:p>
    <w:p>
      <w:pPr>
        <w:jc w:val="both"/>
      </w:pPr>
      <w:r>
        <w:rPr/>
        <w:t xml:space="preserve"/>
      </w:r>
    </w:p>
    <w:p>
      <w:pPr>
        <w:jc w:val="both"/>
      </w:pPr>
      <w:r>
        <w:rPr/>
        <w:t xml:space="preserve">3. Įsigaliojimo datos ir normų nurodymai: Pateikiamos informacijos apie tai, kada konkrečios civilinio kodekso normos pradėjo galioti arba bus taikomos. Pavyzdžiui, tam tikros normos pradėjo galioti nuo tam tikro momento arba nuo juridinių asmenų registro veiklos pradžios.</w:t>
      </w:r>
    </w:p>
    <w:p>
      <w:pPr>
        <w:jc w:val="both"/>
      </w:pPr>
      <w:r>
        <w:rPr/>
        <w:t xml:space="preserve"/>
      </w:r>
    </w:p>
    <w:p>
      <w:pPr>
        <w:jc w:val="both"/>
      </w:pPr>
      <w:r>
        <w:rPr/>
        <w:t xml:space="preserve">Papildoma informacija: Straipsnyje taip pat pateikiama informacija apie tai, kas priėmė šį įstatymą, ar buvo pakeitimų projektai ar ex post vertinimas bei kur buvo paskelbta ši informacija (Valstybės žinios). Taip pat nurodoma kalba (lietuvių) ir ryšys su ES teisės aktais.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Atsižvelgiant į pateiktą straipsnio pavadinimą ir turinį, galima pastebėti, kad tai yra informacinio pobūdžio straipsnis apie Lietuvos Respublikos civilinio kodekso patvirtinimo, įsigaliojimo ir įgyvendinimo įstatymą. Straipsnyje pateikiami pagrindiniai faktai apie šį įstatymą, tokius kaip priėmimo data, galiojanti suvestinė redakcija ir registravimo duomenys.</w:t>
      </w:r>
    </w:p>
    <w:p>
      <w:pPr>
        <w:jc w:val="both"/>
      </w:pPr>
      <w:r>
        <w:rPr/>
        <w:t xml:space="preserve"/>
      </w:r>
    </w:p>
    <w:p>
      <w:pPr>
        <w:jc w:val="both"/>
      </w:pPr>
      <w:r>
        <w:rPr/>
        <w:t xml:space="preserve">Tačiau straipsnis nesuteikia išsamesnės informacijos apie patį civilinį kodeksą ar jo nuostatas. Tai gali būti trūkumas, nes skaitytojui nebus aišku, kokie konkrečiai pakeitimai buvo atlikti civiliniame kodekse ar kokios naujos nuostatos buvo pridėtos.</w:t>
      </w:r>
    </w:p>
    <w:p>
      <w:pPr>
        <w:jc w:val="both"/>
      </w:pPr>
      <w:r>
        <w:rPr/>
        <w:t xml:space="preserve"/>
      </w:r>
    </w:p>
    <w:p>
      <w:pPr>
        <w:jc w:val="both"/>
      </w:pPr>
      <w:r>
        <w:rPr/>
        <w:t xml:space="preserve">Be to, straipsnyje nenurodomas šaltinis, iš kurio buvo gaunama informacija. Tai taip pat yra trūkumas, nes skaitytojas negali patikrinti ar pasitikėti pateiktais duomenimis be šaltinio nuorodos.</w:t>
      </w:r>
    </w:p>
    <w:p>
      <w:pPr>
        <w:jc w:val="both"/>
      </w:pPr>
      <w:r>
        <w:rPr/>
        <w:t xml:space="preserve"/>
      </w:r>
    </w:p>
    <w:p>
      <w:pPr>
        <w:jc w:val="both"/>
      </w:pPr>
      <w:r>
        <w:rPr/>
        <w:t xml:space="preserve">Straipsnyje taip pat nepateikiama jokių analizės ar argumentų dėl šios teisės aktų priėmimo svarbos ar reikalingumo. Tai gali būti trūkumas, nes skaitytojui nebus aišku, kodėl šis įstatymas buvo priimtas ir kokia jo reikšmė visuomenei.</w:t>
      </w:r>
    </w:p>
    <w:p>
      <w:pPr>
        <w:jc w:val="both"/>
      </w:pPr>
      <w:r>
        <w:rPr/>
        <w:t xml:space="preserve"/>
      </w:r>
    </w:p>
    <w:p>
      <w:pPr>
        <w:jc w:val="both"/>
      </w:pPr>
      <w:r>
        <w:rPr/>
        <w:t xml:space="preserve">Straipsnyje taip pat nėra pateikti jokie kontrargumentai ar nuomonių iš kitų šaltinių. Tai gali būti trūkumas, nes skaitytojas negauna pilnesnės informacijos apie šio įstatymo kontekstą ar galimus ginčus dėl jo turinio.</w:t>
      </w:r>
    </w:p>
    <w:p>
      <w:pPr>
        <w:jc w:val="both"/>
      </w:pPr>
      <w:r>
        <w:rPr/>
        <w:t xml:space="preserve"/>
      </w:r>
    </w:p>
    <w:p>
      <w:pPr>
        <w:jc w:val="both"/>
      </w:pPr>
      <w:r>
        <w:rPr/>
        <w:t xml:space="preserve">Taip pat straipsnyje nepateikiama jokių teiginių ar argumentų pagrindimo. Tai yra trūkumas, nes skaitytojas negali įvertinti pateiktos informacijos tikslumo ar patikimumo.</w:t>
      </w:r>
    </w:p>
    <w:p>
      <w:pPr>
        <w:jc w:val="both"/>
      </w:pPr>
      <w:r>
        <w:rPr/>
        <w:t xml:space="preserve"/>
      </w:r>
    </w:p>
    <w:p>
      <w:pPr>
        <w:jc w:val="both"/>
      </w:pPr>
      <w:r>
        <w:rPr/>
        <w:t xml:space="preserve">Visa tai rodo, kad straipsnis yra labai ribotas ir nepilnas. Jis neturi analitinio pobūdžio ir nepateikia pakankamai informacijos apie svarbius aspektus susijusius su Lietuvos Respublikos civilinio kodekso patvirtinimu, įsigaliojimu ir įgyvendinimu.</w:t>
      </w:r>
    </w:p>
    <w:p>
      <w:pPr>
        <w:pStyle w:val="Heading1"/>
      </w:pPr>
      <w:bookmarkStart w:id="5" w:name="_Toc5"/>
      <w:r>
        <w:t>Topics for further research:</w:t>
      </w:r>
      <w:bookmarkEnd w:id="5"/>
    </w:p>
    <w:p>
      <w:pPr>
        <w:spacing w:after="0"/>
        <w:numPr>
          <w:ilvl w:val="0"/>
          <w:numId w:val="2"/>
        </w:numPr>
      </w:pPr>
      <w:r>
        <w:rPr/>
        <w:t xml:space="preserve">Lietuvos Respublikos civilinio kodekso nuostatos ir pakeitimai
</w:t>
      </w:r>
    </w:p>
    <w:p>
      <w:pPr>
        <w:spacing w:after="0"/>
        <w:numPr>
          <w:ilvl w:val="0"/>
          <w:numId w:val="2"/>
        </w:numPr>
      </w:pPr>
      <w:r>
        <w:rPr/>
        <w:t xml:space="preserve">Civilinio kodekso įsigaliojimo proceso detalės
</w:t>
      </w:r>
    </w:p>
    <w:p>
      <w:pPr>
        <w:spacing w:after="0"/>
        <w:numPr>
          <w:ilvl w:val="0"/>
          <w:numId w:val="2"/>
        </w:numPr>
      </w:pPr>
      <w:r>
        <w:rPr/>
        <w:t xml:space="preserve">Civilinio kodekso naujų nuostatų analizė
</w:t>
      </w:r>
    </w:p>
    <w:p>
      <w:pPr>
        <w:spacing w:after="0"/>
        <w:numPr>
          <w:ilvl w:val="0"/>
          <w:numId w:val="2"/>
        </w:numPr>
      </w:pPr>
      <w:r>
        <w:rPr/>
        <w:t xml:space="preserve">Civilinio kodekso įgyvendinimo svarba visuomenei
</w:t>
      </w:r>
    </w:p>
    <w:p>
      <w:pPr>
        <w:spacing w:after="0"/>
        <w:numPr>
          <w:ilvl w:val="0"/>
          <w:numId w:val="2"/>
        </w:numPr>
      </w:pPr>
      <w:r>
        <w:rPr/>
        <w:t xml:space="preserve">Civilinio kodekso kontekstas ir galimi ginčai
</w:t>
      </w:r>
    </w:p>
    <w:p>
      <w:pPr>
        <w:numPr>
          <w:ilvl w:val="0"/>
          <w:numId w:val="2"/>
        </w:numPr>
      </w:pPr>
      <w:r>
        <w:rPr/>
        <w:t xml:space="preserve">Civilinio kodekso patikimumo ir tikslumo vertinimas</w:t>
      </w:r>
    </w:p>
    <w:p>
      <w:pPr>
        <w:pStyle w:val="Heading1"/>
      </w:pPr>
      <w:bookmarkStart w:id="6" w:name="_Toc6"/>
      <w:r>
        <w:t>Report location:</w:t>
      </w:r>
      <w:bookmarkEnd w:id="6"/>
    </w:p>
    <w:p>
      <w:hyperlink r:id="rId8" w:history="1">
        <w:r>
          <w:rPr>
            <w:color w:val="2980b9"/>
            <w:u w:val="single"/>
          </w:rPr>
          <w:t xml:space="preserve">https://www.fullpicture.app/item/02544cdd40ea138236c26c60d3d68d9f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B13B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eimas.lrs.lt/portal/legalAct/lt/TAD/TAIS.107687" TargetMode="External"/><Relationship Id="rId8" Type="http://schemas.openxmlformats.org/officeDocument/2006/relationships/hyperlink" Target="https://www.fullpicture.app/item/02544cdd40ea138236c26c60d3d68d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2024-07-08T19:45:04+02:00</dcterms:created>
  <dcterms:modified xsi:type="dcterms:W3CDTF">2024-07-08T19:45:04+02:00</dcterms:modified>
</cp:coreProperties>
</file>

<file path=docProps/custom.xml><?xml version="1.0" encoding="utf-8"?>
<Properties xmlns="http://schemas.openxmlformats.org/officeDocument/2006/custom-properties" xmlns:vt="http://schemas.openxmlformats.org/officeDocument/2006/docPropsVTypes"/>
</file>